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812D" w14:textId="794AE044"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Meeting #</w:t>
      </w:r>
      <w:r w:rsidR="009630FD">
        <w:rPr>
          <w:rFonts w:ascii="Arial" w:hAnsi="Arial" w:cs="Arial"/>
          <w:b/>
          <w:sz w:val="24"/>
          <w:lang w:val="en-US"/>
        </w:rPr>
        <w:t>10</w:t>
      </w:r>
      <w:r w:rsidR="0028597C">
        <w:rPr>
          <w:rFonts w:ascii="Arial" w:hAnsi="Arial" w:cs="Arial"/>
          <w:b/>
          <w:sz w:val="24"/>
          <w:lang w:val="en-US"/>
        </w:rPr>
        <w:t>6</w:t>
      </w:r>
      <w:r w:rsidR="00961FB3">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8597C">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33196" w:rsidRPr="00533196">
        <w:rPr>
          <w:rFonts w:ascii="Arial" w:hAnsi="Arial" w:cs="Arial"/>
          <w:b/>
          <w:sz w:val="24"/>
          <w:lang w:val="en-US"/>
        </w:rPr>
        <w:t>R1-2107567</w:t>
      </w:r>
    </w:p>
    <w:p w14:paraId="0877B945" w14:textId="12507133"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463FFC">
        <w:rPr>
          <w:rFonts w:ascii="Arial" w:hAnsi="Arial" w:cs="Arial"/>
          <w:b/>
          <w:sz w:val="24"/>
          <w:lang w:val="en-US"/>
        </w:rPr>
        <w:t>August</w:t>
      </w:r>
      <w:r w:rsidR="00362789">
        <w:rPr>
          <w:rFonts w:ascii="Arial" w:hAnsi="Arial" w:cs="Arial"/>
          <w:b/>
          <w:sz w:val="24"/>
          <w:lang w:val="en-US"/>
        </w:rPr>
        <w:t xml:space="preserve"> </w:t>
      </w:r>
      <w:r w:rsidR="00463FFC">
        <w:rPr>
          <w:rFonts w:ascii="Arial" w:hAnsi="Arial" w:cs="Arial"/>
          <w:b/>
          <w:sz w:val="24"/>
          <w:lang w:val="en-US"/>
        </w:rPr>
        <w:t>16</w:t>
      </w:r>
      <w:r w:rsidR="00463FFC" w:rsidRPr="00463FFC">
        <w:rPr>
          <w:rFonts w:ascii="Arial" w:hAnsi="Arial" w:cs="Arial"/>
          <w:b/>
          <w:sz w:val="24"/>
          <w:vertAlign w:val="superscript"/>
          <w:lang w:val="en-US"/>
        </w:rPr>
        <w:t>th</w:t>
      </w:r>
      <w:r w:rsidR="00463FFC">
        <w:rPr>
          <w:rFonts w:ascii="Arial" w:hAnsi="Arial" w:cs="Arial"/>
          <w:b/>
          <w:sz w:val="24"/>
          <w:lang w:val="en-US"/>
        </w:rPr>
        <w:t xml:space="preserve"> </w:t>
      </w:r>
      <w:r>
        <w:rPr>
          <w:rFonts w:ascii="Arial" w:hAnsi="Arial" w:cs="Arial"/>
          <w:b/>
          <w:sz w:val="24"/>
          <w:lang w:val="en-US"/>
        </w:rPr>
        <w:t xml:space="preserve">– </w:t>
      </w:r>
      <w:r w:rsidR="0069158A">
        <w:rPr>
          <w:rFonts w:ascii="Arial" w:hAnsi="Arial" w:cs="Arial"/>
          <w:b/>
          <w:sz w:val="24"/>
          <w:lang w:val="en-US"/>
        </w:rPr>
        <w:t>2</w:t>
      </w:r>
      <w:r w:rsidR="00463FFC">
        <w:rPr>
          <w:rFonts w:ascii="Arial" w:hAnsi="Arial" w:cs="Arial"/>
          <w:b/>
          <w:sz w:val="24"/>
          <w:lang w:val="en-US"/>
        </w:rPr>
        <w:t>7</w:t>
      </w:r>
      <w:r w:rsidR="00362789" w:rsidRPr="00362789">
        <w:rPr>
          <w:rFonts w:ascii="Arial" w:hAnsi="Arial" w:cs="Arial"/>
          <w:b/>
          <w:sz w:val="24"/>
          <w:vertAlign w:val="superscript"/>
          <w:lang w:val="en-US"/>
        </w:rPr>
        <w:t>th</w:t>
      </w:r>
      <w:r>
        <w:rPr>
          <w:rFonts w:ascii="Arial" w:hAnsi="Arial" w:cs="Arial"/>
          <w:b/>
          <w:sz w:val="24"/>
          <w:lang w:val="en-US"/>
        </w:rPr>
        <w:t>, 202</w:t>
      </w:r>
      <w:r w:rsidR="00553342">
        <w:rPr>
          <w:rFonts w:ascii="Arial" w:hAnsi="Arial" w:cs="Arial"/>
          <w:b/>
          <w:sz w:val="24"/>
          <w:lang w:val="en-US"/>
        </w:rPr>
        <w:t>1</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1CB408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w:t>
      </w:r>
      <w:r w:rsidR="00835C5E">
        <w:rPr>
          <w:rFonts w:ascii="Arial" w:eastAsia="Malgun Gothic" w:hAnsi="Arial" w:cs="Arial"/>
          <w:b/>
          <w:sz w:val="24"/>
          <w:lang w:val="en-US" w:eastAsia="ko-KR"/>
        </w:rPr>
        <w:t xml:space="preserve"> carrier switching</w:t>
      </w:r>
    </w:p>
    <w:p w14:paraId="442797E2" w14:textId="19E8DED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35C5E">
        <w:rPr>
          <w:rFonts w:ascii="Arial" w:hAnsi="Arial" w:cs="Arial"/>
          <w:b/>
          <w:sz w:val="24"/>
          <w:lang w:val="en-US"/>
        </w:rPr>
        <w:t>7.</w:t>
      </w:r>
      <w:r w:rsidR="00CB23DE">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6CD54173" w:rsidR="00EA7A31" w:rsidRDefault="000108B0" w:rsidP="00026770">
      <w:pPr>
        <w:ind w:firstLine="284"/>
        <w:jc w:val="both"/>
        <w:rPr>
          <w:sz w:val="22"/>
          <w:lang w:eastAsia="zh-CN"/>
        </w:rPr>
      </w:pPr>
      <w:r>
        <w:rPr>
          <w:sz w:val="22"/>
          <w:lang w:eastAsia="zh-CN"/>
        </w:rPr>
        <w:t>In RAN1 #10</w:t>
      </w:r>
      <w:r w:rsidR="00301C0F">
        <w:rPr>
          <w:sz w:val="22"/>
          <w:lang w:eastAsia="zh-CN"/>
        </w:rPr>
        <w:t>5</w:t>
      </w:r>
      <w:r>
        <w:rPr>
          <w:sz w:val="22"/>
          <w:lang w:eastAsia="zh-CN"/>
        </w:rPr>
        <w:t xml:space="preserve">-e, the following agreements on SRS </w:t>
      </w:r>
      <w:r w:rsidR="00301C0F">
        <w:rPr>
          <w:sz w:val="22"/>
          <w:lang w:eastAsia="zh-CN"/>
        </w:rPr>
        <w:t>carrier switching</w:t>
      </w:r>
      <w:r>
        <w:rPr>
          <w:sz w:val="22"/>
          <w:lang w:eastAsia="zh-CN"/>
        </w:rPr>
        <w:t xml:space="preserve">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5AB89FF9" w14:textId="77777777" w:rsidR="00301C0F" w:rsidRPr="00F66056" w:rsidRDefault="00301C0F" w:rsidP="00301C0F">
            <w:pPr>
              <w:rPr>
                <w:rFonts w:cs="Times"/>
                <w:sz w:val="18"/>
                <w:lang w:val="en-US" w:eastAsia="ko-KR"/>
              </w:rPr>
            </w:pPr>
            <w:r w:rsidRPr="00F66056">
              <w:rPr>
                <w:rStyle w:val="Strong"/>
                <w:rFonts w:cs="Times"/>
                <w:szCs w:val="22"/>
                <w:highlight w:val="green"/>
              </w:rPr>
              <w:t>Agreement</w:t>
            </w:r>
          </w:p>
          <w:p w14:paraId="77DDF576" w14:textId="77777777" w:rsidR="00301C0F" w:rsidRPr="00F66056" w:rsidRDefault="00301C0F" w:rsidP="00301C0F">
            <w:pPr>
              <w:rPr>
                <w:rFonts w:cs="Times"/>
                <w:sz w:val="18"/>
              </w:rPr>
            </w:pPr>
            <w:r w:rsidRPr="00F66056">
              <w:rPr>
                <w:rFonts w:cs="Times"/>
                <w:szCs w:val="22"/>
              </w:rPr>
              <w:t>The prioritization rules of SRS carrier switching apply to at least the source CC.</w:t>
            </w:r>
          </w:p>
          <w:p w14:paraId="191EA030" w14:textId="0ABDD0AC" w:rsidR="00301C0F" w:rsidRPr="00F66056" w:rsidRDefault="00301C0F" w:rsidP="00301C0F">
            <w:pPr>
              <w:numPr>
                <w:ilvl w:val="0"/>
                <w:numId w:val="37"/>
              </w:numPr>
              <w:overflowPunct/>
              <w:autoSpaceDE/>
              <w:autoSpaceDN/>
              <w:adjustRightInd/>
              <w:spacing w:after="0"/>
              <w:textAlignment w:val="auto"/>
              <w:rPr>
                <w:rFonts w:eastAsia="MS PGothic" w:cs="Times"/>
              </w:rPr>
            </w:pPr>
            <w:r w:rsidRPr="00F66056">
              <w:rPr>
                <w:rFonts w:eastAsia="MS PGothic" w:cs="Times"/>
              </w:rPr>
              <w:t>FFS: Whether the specification needs to be updated or not</w:t>
            </w:r>
          </w:p>
          <w:p w14:paraId="1C0B440F" w14:textId="77777777" w:rsidR="00301C0F" w:rsidRPr="00F66056" w:rsidRDefault="00301C0F" w:rsidP="00301C0F">
            <w:pPr>
              <w:rPr>
                <w:rFonts w:cs="Times"/>
                <w:sz w:val="18"/>
              </w:rPr>
            </w:pPr>
            <w:r w:rsidRPr="00F66056">
              <w:rPr>
                <w:rStyle w:val="Strong"/>
                <w:rFonts w:cs="Times"/>
                <w:szCs w:val="22"/>
                <w:highlight w:val="green"/>
              </w:rPr>
              <w:t>Agreement</w:t>
            </w:r>
          </w:p>
          <w:p w14:paraId="773EBADA" w14:textId="77777777" w:rsidR="00301C0F" w:rsidRPr="00F66056" w:rsidRDefault="00301C0F" w:rsidP="00301C0F">
            <w:pPr>
              <w:rPr>
                <w:rFonts w:cs="Times"/>
                <w:sz w:val="18"/>
              </w:rPr>
            </w:pPr>
            <w:r w:rsidRPr="00F66056">
              <w:rPr>
                <w:rFonts w:cs="Times"/>
                <w:szCs w:val="22"/>
              </w:rPr>
              <w:t>Down select one from the following two options in RAN1#106-e meeting to determine which UL CCs other than the source CC should be used for SRS carrier switching priority rules:</w:t>
            </w:r>
          </w:p>
          <w:p w14:paraId="3C93415F" w14:textId="77777777" w:rsidR="00301C0F" w:rsidRPr="00F66056" w:rsidRDefault="00301C0F" w:rsidP="00301C0F">
            <w:pPr>
              <w:numPr>
                <w:ilvl w:val="0"/>
                <w:numId w:val="37"/>
              </w:numPr>
              <w:overflowPunct/>
              <w:autoSpaceDE/>
              <w:autoSpaceDN/>
              <w:adjustRightInd/>
              <w:spacing w:after="0"/>
              <w:textAlignment w:val="auto"/>
              <w:rPr>
                <w:rFonts w:eastAsia="MS PGothic" w:cs="Times"/>
              </w:rPr>
            </w:pPr>
            <w:r w:rsidRPr="00F66056">
              <w:rPr>
                <w:rFonts w:eastAsia="MS PGothic" w:cs="Times"/>
              </w:rPr>
              <w:t>Option 1: The UL </w:t>
            </w:r>
            <w:proofErr w:type="gramStart"/>
            <w:r w:rsidRPr="00F66056">
              <w:rPr>
                <w:rFonts w:eastAsia="MS PGothic" w:cs="Times"/>
              </w:rPr>
              <w:t>CCs  in</w:t>
            </w:r>
            <w:proofErr w:type="gramEnd"/>
            <w:r w:rsidRPr="00F66056">
              <w:rPr>
                <w:rFonts w:eastAsia="MS PGothic" w:cs="Times"/>
              </w:rPr>
              <w:t xml:space="preserve"> the same band as the source CC</w:t>
            </w:r>
          </w:p>
          <w:p w14:paraId="783F9CDF" w14:textId="77777777" w:rsidR="00301C0F" w:rsidRPr="00F66056" w:rsidRDefault="00301C0F" w:rsidP="00301C0F">
            <w:pPr>
              <w:numPr>
                <w:ilvl w:val="0"/>
                <w:numId w:val="37"/>
              </w:numPr>
              <w:overflowPunct/>
              <w:autoSpaceDE/>
              <w:autoSpaceDN/>
              <w:adjustRightInd/>
              <w:spacing w:after="0"/>
              <w:textAlignment w:val="auto"/>
              <w:rPr>
                <w:rFonts w:eastAsia="MS PGothic" w:cs="Times"/>
              </w:rPr>
            </w:pPr>
            <w:r w:rsidRPr="00F66056">
              <w:rPr>
                <w:rFonts w:eastAsia="MS PGothic" w:cs="Times"/>
              </w:rPr>
              <w:t>Option 2: The UL CCs can be any carriers which result in uplink transmissions beyond the UE ’s indicated uplink carrier aggregation capability. </w:t>
            </w:r>
          </w:p>
          <w:p w14:paraId="3B71FC2A" w14:textId="77777777" w:rsidR="00301C0F" w:rsidRPr="00F66056" w:rsidRDefault="00301C0F" w:rsidP="00301C0F">
            <w:pPr>
              <w:numPr>
                <w:ilvl w:val="1"/>
                <w:numId w:val="37"/>
              </w:numPr>
              <w:overflowPunct/>
              <w:autoSpaceDE/>
              <w:autoSpaceDN/>
              <w:adjustRightInd/>
              <w:spacing w:after="0"/>
              <w:textAlignment w:val="auto"/>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 xml:space="preserve">’s indicated uplink CA capability” is derived based on current ASN.1 </w:t>
            </w:r>
            <w:proofErr w:type="spellStart"/>
            <w:r w:rsidRPr="00F66056">
              <w:rPr>
                <w:rFonts w:eastAsia="MS PGothic" w:cs="Times"/>
              </w:rPr>
              <w:t>signaling</w:t>
            </w:r>
            <w:proofErr w:type="spellEnd"/>
            <w:r w:rsidRPr="00F66056">
              <w:rPr>
                <w:rFonts w:eastAsia="MS PGothic" w:cs="Times"/>
              </w:rPr>
              <w:t>.</w:t>
            </w:r>
          </w:p>
          <w:p w14:paraId="62A594E3" w14:textId="3F26FECE" w:rsidR="009569E2" w:rsidRPr="00301C0F" w:rsidRDefault="009569E2" w:rsidP="0028597C">
            <w:pPr>
              <w:overflowPunct/>
              <w:autoSpaceDE/>
              <w:autoSpaceDN/>
              <w:adjustRightInd/>
              <w:snapToGrid w:val="0"/>
              <w:spacing w:before="80" w:after="0" w:line="240" w:lineRule="auto"/>
              <w:textAlignment w:val="auto"/>
              <w:rPr>
                <w:rFonts w:ascii="Times" w:eastAsia="Calibri" w:hAnsi="Times" w:cs="Times"/>
                <w:iCs/>
                <w:lang w:val="en-US"/>
              </w:rPr>
            </w:pPr>
          </w:p>
        </w:tc>
      </w:tr>
    </w:tbl>
    <w:p w14:paraId="28D0451C" w14:textId="35142651" w:rsidR="00A0767A" w:rsidRPr="0057317F" w:rsidRDefault="008A7CE5" w:rsidP="0057317F">
      <w:pPr>
        <w:spacing w:before="240"/>
        <w:ind w:firstLine="288"/>
        <w:jc w:val="both"/>
        <w:rPr>
          <w:sz w:val="22"/>
          <w:lang w:eastAsia="zh-CN"/>
        </w:rPr>
      </w:pPr>
      <w:r w:rsidRPr="0057317F">
        <w:rPr>
          <w:sz w:val="22"/>
          <w:lang w:eastAsia="zh-CN"/>
        </w:rPr>
        <w:t xml:space="preserve">In this contribution, we provide </w:t>
      </w:r>
      <w:r w:rsidR="0041138F" w:rsidRPr="0057317F">
        <w:rPr>
          <w:sz w:val="22"/>
          <w:lang w:eastAsia="zh-CN"/>
        </w:rPr>
        <w:t xml:space="preserve">our views on </w:t>
      </w:r>
      <w:r w:rsidR="005A2B94">
        <w:rPr>
          <w:sz w:val="22"/>
          <w:lang w:eastAsia="zh-CN"/>
        </w:rPr>
        <w:t xml:space="preserve">the </w:t>
      </w:r>
      <w:r w:rsidR="00301C0F">
        <w:rPr>
          <w:sz w:val="22"/>
          <w:lang w:eastAsia="zh-CN"/>
        </w:rPr>
        <w:t>SRS carrier switching operation</w:t>
      </w:r>
      <w:r w:rsidR="00015B2E" w:rsidRPr="0057317F">
        <w:rPr>
          <w:sz w:val="22"/>
          <w:lang w:eastAsia="zh-CN"/>
        </w:rPr>
        <w:t>.</w:t>
      </w:r>
    </w:p>
    <w:p w14:paraId="58F80269" w14:textId="72C93A59"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 xml:space="preserve">Discussion on SRS </w:t>
      </w:r>
      <w:r w:rsidR="00301C0F">
        <w:rPr>
          <w:rFonts w:cs="Arial"/>
          <w:lang w:val="en-US"/>
        </w:rPr>
        <w:t>carrier switching</w:t>
      </w:r>
    </w:p>
    <w:p w14:paraId="4C198AC7" w14:textId="5195E1A5" w:rsidR="00067824" w:rsidRDefault="00067824" w:rsidP="00067824">
      <w:pPr>
        <w:pStyle w:val="Heading2"/>
      </w:pPr>
      <w:r>
        <w:t xml:space="preserve">2.1 </w:t>
      </w:r>
      <w:r w:rsidR="00301C0F">
        <w:t>Applicable CCs</w:t>
      </w:r>
    </w:p>
    <w:p w14:paraId="6AF7728B" w14:textId="77777777" w:rsidR="00B928C6" w:rsidRDefault="00B928C6" w:rsidP="00F85C00">
      <w:pPr>
        <w:spacing w:before="120" w:after="0"/>
        <w:ind w:firstLine="288"/>
        <w:jc w:val="both"/>
        <w:rPr>
          <w:sz w:val="22"/>
          <w:szCs w:val="22"/>
          <w:lang w:val="en-US"/>
        </w:rPr>
      </w:pPr>
      <w:r>
        <w:rPr>
          <w:sz w:val="22"/>
          <w:szCs w:val="22"/>
          <w:lang w:val="en-US"/>
        </w:rPr>
        <w:t>In previous meeting, it was discussed which CCs the collision handling for SRS carrier switching should be applied to. There were two alternatives as below:</w:t>
      </w:r>
    </w:p>
    <w:p w14:paraId="2CE0C011" w14:textId="6A09672E" w:rsidR="00B928C6" w:rsidRPr="00B928C6" w:rsidRDefault="00B928C6" w:rsidP="00B928C6">
      <w:pPr>
        <w:numPr>
          <w:ilvl w:val="0"/>
          <w:numId w:val="33"/>
        </w:numPr>
        <w:overflowPunct/>
        <w:autoSpaceDE/>
        <w:autoSpaceDN/>
        <w:adjustRightInd/>
        <w:spacing w:before="120" w:after="0"/>
        <w:textAlignment w:val="auto"/>
        <w:rPr>
          <w:rFonts w:eastAsia="Times New Roman"/>
          <w:szCs w:val="24"/>
          <w:lang w:val="en-US" w:eastAsia="x-none"/>
        </w:rPr>
      </w:pPr>
      <w:r w:rsidRPr="00B928C6">
        <w:rPr>
          <w:rFonts w:eastAsia="Times New Roman"/>
          <w:szCs w:val="24"/>
          <w:lang w:val="en-US" w:eastAsia="x-none"/>
        </w:rPr>
        <w:t>Option 1: The UL</w:t>
      </w:r>
      <w:r>
        <w:rPr>
          <w:rFonts w:eastAsia="Times New Roman"/>
          <w:szCs w:val="24"/>
          <w:lang w:val="en-US" w:eastAsia="x-none"/>
        </w:rPr>
        <w:t xml:space="preserve"> </w:t>
      </w:r>
      <w:r w:rsidRPr="00B928C6">
        <w:rPr>
          <w:rFonts w:eastAsia="Times New Roman"/>
          <w:szCs w:val="24"/>
          <w:lang w:val="en-US" w:eastAsia="x-none"/>
        </w:rPr>
        <w:t>CCs</w:t>
      </w:r>
      <w:r>
        <w:rPr>
          <w:rFonts w:eastAsia="Times New Roman"/>
          <w:szCs w:val="24"/>
          <w:lang w:val="en-US" w:eastAsia="x-none"/>
        </w:rPr>
        <w:t xml:space="preserve"> </w:t>
      </w:r>
      <w:r w:rsidRPr="00B928C6">
        <w:rPr>
          <w:rFonts w:eastAsia="Times New Roman"/>
          <w:szCs w:val="24"/>
          <w:lang w:val="en-US" w:eastAsia="x-none"/>
        </w:rPr>
        <w:t>in the same band as the source CC</w:t>
      </w:r>
    </w:p>
    <w:p w14:paraId="4535209F" w14:textId="0A4BA28C" w:rsidR="00B928C6" w:rsidRPr="00B928C6" w:rsidRDefault="00B928C6" w:rsidP="00B928C6">
      <w:pPr>
        <w:numPr>
          <w:ilvl w:val="0"/>
          <w:numId w:val="33"/>
        </w:numPr>
        <w:overflowPunct/>
        <w:autoSpaceDE/>
        <w:autoSpaceDN/>
        <w:adjustRightInd/>
        <w:spacing w:before="120" w:after="0"/>
        <w:textAlignment w:val="auto"/>
        <w:rPr>
          <w:rFonts w:eastAsia="Times New Roman"/>
          <w:szCs w:val="24"/>
          <w:lang w:val="en-US" w:eastAsia="x-none"/>
        </w:rPr>
      </w:pPr>
      <w:r w:rsidRPr="00B928C6">
        <w:rPr>
          <w:rFonts w:eastAsia="Times New Roman"/>
          <w:szCs w:val="24"/>
          <w:lang w:val="en-US" w:eastAsia="x-none"/>
        </w:rPr>
        <w:t>Option 2: The UL</w:t>
      </w:r>
      <w:r>
        <w:rPr>
          <w:rFonts w:eastAsia="Times New Roman"/>
          <w:szCs w:val="24"/>
          <w:lang w:val="en-US" w:eastAsia="x-none"/>
        </w:rPr>
        <w:t xml:space="preserve"> </w:t>
      </w:r>
      <w:r w:rsidRPr="00B928C6">
        <w:rPr>
          <w:rFonts w:eastAsia="Times New Roman"/>
          <w:szCs w:val="24"/>
          <w:lang w:val="en-US" w:eastAsia="x-none"/>
        </w:rPr>
        <w:t>CCs can be any carriers which result in</w:t>
      </w:r>
      <w:r w:rsidR="005D5DA6">
        <w:rPr>
          <w:rFonts w:eastAsia="Times New Roman"/>
          <w:szCs w:val="24"/>
          <w:lang w:val="en-US" w:eastAsia="x-none"/>
        </w:rPr>
        <w:t xml:space="preserve"> </w:t>
      </w:r>
      <w:r w:rsidRPr="00B928C6">
        <w:rPr>
          <w:rFonts w:eastAsia="Times New Roman"/>
          <w:szCs w:val="24"/>
          <w:lang w:val="en-US" w:eastAsia="x-none"/>
        </w:rPr>
        <w:t>uplink transmissions beyond the</w:t>
      </w:r>
      <w:r>
        <w:rPr>
          <w:rFonts w:eastAsia="Times New Roman"/>
          <w:szCs w:val="24"/>
          <w:lang w:val="en-US" w:eastAsia="x-none"/>
        </w:rPr>
        <w:t xml:space="preserve"> </w:t>
      </w:r>
      <w:r w:rsidRPr="00B928C6">
        <w:rPr>
          <w:rFonts w:eastAsia="Times New Roman"/>
          <w:szCs w:val="24"/>
          <w:lang w:val="en-US" w:eastAsia="x-none"/>
        </w:rPr>
        <w:t>UE ’s indicated</w:t>
      </w:r>
      <w:r w:rsidR="005D5DA6">
        <w:rPr>
          <w:rFonts w:eastAsia="Times New Roman"/>
          <w:szCs w:val="24"/>
          <w:lang w:val="en-US" w:eastAsia="x-none"/>
        </w:rPr>
        <w:t xml:space="preserve"> </w:t>
      </w:r>
      <w:r w:rsidRPr="00B928C6">
        <w:rPr>
          <w:rFonts w:eastAsia="Times New Roman"/>
          <w:szCs w:val="24"/>
          <w:lang w:val="en-US" w:eastAsia="x-none"/>
        </w:rPr>
        <w:t>uplink carrier aggregation capability.</w:t>
      </w:r>
    </w:p>
    <w:p w14:paraId="336DC105" w14:textId="25467513" w:rsidR="00B928C6" w:rsidRDefault="00395EC6" w:rsidP="00F85C00">
      <w:pPr>
        <w:spacing w:before="120" w:after="0"/>
        <w:ind w:firstLine="288"/>
        <w:jc w:val="both"/>
        <w:rPr>
          <w:sz w:val="22"/>
          <w:szCs w:val="22"/>
        </w:rPr>
      </w:pPr>
      <w:r>
        <w:rPr>
          <w:sz w:val="22"/>
          <w:szCs w:val="22"/>
        </w:rPr>
        <w:t>In RAN1 #98 meeting, there was below agreement.</w:t>
      </w:r>
    </w:p>
    <w:tbl>
      <w:tblPr>
        <w:tblStyle w:val="TableGrid"/>
        <w:tblW w:w="0" w:type="auto"/>
        <w:tblLook w:val="04A0" w:firstRow="1" w:lastRow="0" w:firstColumn="1" w:lastColumn="0" w:noHBand="0" w:noVBand="1"/>
      </w:tblPr>
      <w:tblGrid>
        <w:gridCol w:w="10160"/>
      </w:tblGrid>
      <w:tr w:rsidR="00395EC6" w14:paraId="12DC4910" w14:textId="77777777" w:rsidTr="00395EC6">
        <w:tc>
          <w:tcPr>
            <w:tcW w:w="10160" w:type="dxa"/>
          </w:tcPr>
          <w:p w14:paraId="27EBA615" w14:textId="77777777" w:rsidR="00395EC6" w:rsidRPr="00463953" w:rsidRDefault="00395EC6" w:rsidP="00395EC6">
            <w:pPr>
              <w:rPr>
                <w:rFonts w:cs="Times"/>
                <w:b/>
                <w:bCs/>
                <w:highlight w:val="green"/>
                <w:lang w:eastAsia="x-none"/>
              </w:rPr>
            </w:pPr>
            <w:r w:rsidRPr="00463953">
              <w:rPr>
                <w:rFonts w:cs="Times"/>
                <w:b/>
                <w:bCs/>
                <w:highlight w:val="green"/>
                <w:lang w:eastAsia="x-none"/>
              </w:rPr>
              <w:t>Agreement</w:t>
            </w:r>
          </w:p>
          <w:p w14:paraId="66A63F6E" w14:textId="13F7CD7E" w:rsidR="00395EC6" w:rsidRPr="00395EC6" w:rsidRDefault="00395EC6" w:rsidP="00395EC6">
            <w:pPr>
              <w:rPr>
                <w:rFonts w:cs="Times"/>
                <w:lang w:eastAsia="x-none"/>
              </w:rPr>
            </w:pPr>
            <w:r w:rsidRPr="00463953">
              <w:rPr>
                <w:rFonts w:cs="Times"/>
                <w:lang w:eastAsia="x-none"/>
              </w:rPr>
              <w:t xml:space="preserve">The draft CR </w:t>
            </w:r>
            <w:r>
              <w:rPr>
                <w:rFonts w:cs="Times"/>
                <w:lang w:eastAsia="x-none"/>
              </w:rPr>
              <w:t xml:space="preserve">in R1-1909020 </w:t>
            </w:r>
            <w:r w:rsidRPr="00463953">
              <w:rPr>
                <w:rFonts w:cs="Times"/>
                <w:lang w:eastAsia="x-none"/>
              </w:rPr>
              <w:t>is endorsed for inclusion as part of alignment CR for TS38.214.</w:t>
            </w:r>
          </w:p>
        </w:tc>
      </w:tr>
    </w:tbl>
    <w:p w14:paraId="1B06195F" w14:textId="0E9EC8CE" w:rsidR="00395EC6" w:rsidRPr="00B928C6" w:rsidRDefault="004412FB" w:rsidP="00F85C00">
      <w:pPr>
        <w:spacing w:before="120" w:after="0"/>
        <w:ind w:firstLine="288"/>
        <w:jc w:val="both"/>
        <w:rPr>
          <w:sz w:val="22"/>
          <w:szCs w:val="22"/>
        </w:rPr>
      </w:pPr>
      <w:r>
        <w:rPr>
          <w:sz w:val="22"/>
          <w:szCs w:val="22"/>
        </w:rPr>
        <w:lastRenderedPageBreak/>
        <w:t xml:space="preserve">In </w:t>
      </w:r>
      <w:r w:rsidR="00254A1E">
        <w:rPr>
          <w:sz w:val="22"/>
          <w:szCs w:val="22"/>
        </w:rPr>
        <w:t>R1-1909020</w:t>
      </w:r>
      <w:r w:rsidR="00BB28FA">
        <w:rPr>
          <w:sz w:val="22"/>
          <w:szCs w:val="22"/>
        </w:rPr>
        <w:t xml:space="preserve">, it was explained that </w:t>
      </w:r>
      <w:r w:rsidR="00254A1E">
        <w:rPr>
          <w:sz w:val="22"/>
          <w:szCs w:val="22"/>
        </w:rPr>
        <w:t xml:space="preserve">for SRS carrier switching collision handling, besides </w:t>
      </w:r>
      <w:r w:rsidR="00254A1E" w:rsidRPr="00254A1E">
        <w:rPr>
          <w:sz w:val="22"/>
          <w:szCs w:val="22"/>
        </w:rPr>
        <w:t>CA-</w:t>
      </w:r>
      <w:proofErr w:type="spellStart"/>
      <w:r w:rsidR="00254A1E" w:rsidRPr="00254A1E">
        <w:rPr>
          <w:sz w:val="22"/>
          <w:szCs w:val="22"/>
        </w:rPr>
        <w:t>ParametersNR</w:t>
      </w:r>
      <w:proofErr w:type="spellEnd"/>
      <w:r w:rsidR="00254A1E">
        <w:rPr>
          <w:sz w:val="22"/>
          <w:szCs w:val="22"/>
        </w:rPr>
        <w:t xml:space="preserve">, other UL CA capability parameters may also need to be considered, for example, </w:t>
      </w:r>
      <w:r w:rsidR="00254A1E" w:rsidRPr="00254A1E">
        <w:rPr>
          <w:sz w:val="22"/>
          <w:szCs w:val="22"/>
        </w:rPr>
        <w:t>ca-</w:t>
      </w:r>
      <w:proofErr w:type="spellStart"/>
      <w:r w:rsidR="00254A1E" w:rsidRPr="00254A1E">
        <w:rPr>
          <w:sz w:val="22"/>
          <w:szCs w:val="22"/>
        </w:rPr>
        <w:t>BandwidthClassUL</w:t>
      </w:r>
      <w:proofErr w:type="spellEnd"/>
      <w:r w:rsidR="00254A1E" w:rsidRPr="00254A1E">
        <w:rPr>
          <w:sz w:val="22"/>
          <w:szCs w:val="22"/>
        </w:rPr>
        <w:t>-NR</w:t>
      </w:r>
      <w:r w:rsidR="00254A1E">
        <w:rPr>
          <w:sz w:val="22"/>
          <w:szCs w:val="22"/>
        </w:rPr>
        <w:t xml:space="preserve">. The details could be found in </w:t>
      </w:r>
      <w:r w:rsidR="00254A1E">
        <w:rPr>
          <w:sz w:val="22"/>
          <w:szCs w:val="22"/>
        </w:rPr>
        <w:fldChar w:fldCharType="begin"/>
      </w:r>
      <w:r w:rsidR="00254A1E">
        <w:rPr>
          <w:sz w:val="22"/>
          <w:szCs w:val="22"/>
        </w:rPr>
        <w:instrText xml:space="preserve"> REF _Ref78926790 \r \h </w:instrText>
      </w:r>
      <w:r w:rsidR="00254A1E">
        <w:rPr>
          <w:sz w:val="22"/>
          <w:szCs w:val="22"/>
        </w:rPr>
      </w:r>
      <w:r w:rsidR="00254A1E">
        <w:rPr>
          <w:sz w:val="22"/>
          <w:szCs w:val="22"/>
        </w:rPr>
        <w:fldChar w:fldCharType="separate"/>
      </w:r>
      <w:r w:rsidR="00254A1E">
        <w:rPr>
          <w:sz w:val="22"/>
          <w:szCs w:val="22"/>
        </w:rPr>
        <w:t>[7]</w:t>
      </w:r>
      <w:r w:rsidR="00254A1E">
        <w:rPr>
          <w:sz w:val="22"/>
          <w:szCs w:val="22"/>
        </w:rPr>
        <w:fldChar w:fldCharType="end"/>
      </w:r>
      <w:r w:rsidR="00254A1E">
        <w:rPr>
          <w:sz w:val="22"/>
          <w:szCs w:val="22"/>
        </w:rPr>
        <w:t>.</w:t>
      </w:r>
    </w:p>
    <w:p w14:paraId="596DD41C" w14:textId="65AFCD8B" w:rsidR="00B928C6" w:rsidRDefault="00254A1E" w:rsidP="00F85C00">
      <w:pPr>
        <w:spacing w:before="120" w:after="0"/>
        <w:ind w:firstLine="288"/>
        <w:jc w:val="both"/>
        <w:rPr>
          <w:sz w:val="22"/>
          <w:szCs w:val="22"/>
          <w:lang w:val="en-US"/>
        </w:rPr>
      </w:pPr>
      <w:r>
        <w:rPr>
          <w:sz w:val="22"/>
          <w:szCs w:val="22"/>
          <w:lang w:val="en-US"/>
        </w:rPr>
        <w:t>Therefore, we think Option 2 is more aligned with the current spec.</w:t>
      </w:r>
    </w:p>
    <w:p w14:paraId="73500358" w14:textId="77777777" w:rsidR="009A61AE" w:rsidRPr="003D5083" w:rsidRDefault="009A61AE" w:rsidP="009A61AE">
      <w:pPr>
        <w:spacing w:before="120" w:after="0"/>
        <w:ind w:firstLine="284"/>
        <w:jc w:val="both"/>
        <w:rPr>
          <w:b/>
          <w:i/>
          <w:sz w:val="22"/>
          <w:szCs w:val="22"/>
        </w:rPr>
      </w:pPr>
      <w:r w:rsidRPr="003D5083">
        <w:rPr>
          <w:b/>
          <w:i/>
          <w:sz w:val="22"/>
          <w:szCs w:val="22"/>
        </w:rPr>
        <w:t>Proposal 1:</w:t>
      </w:r>
    </w:p>
    <w:p w14:paraId="5F9D2A9F" w14:textId="01417DE6" w:rsidR="009A61AE" w:rsidRDefault="00B928C6" w:rsidP="009A61AE">
      <w:pPr>
        <w:pStyle w:val="ListParagraph"/>
        <w:numPr>
          <w:ilvl w:val="0"/>
          <w:numId w:val="21"/>
        </w:numPr>
        <w:spacing w:before="120"/>
        <w:jc w:val="both"/>
        <w:rPr>
          <w:rFonts w:ascii="Times New Roman" w:hAnsi="Times New Roman"/>
          <w:i/>
        </w:rPr>
      </w:pPr>
      <w:r w:rsidRPr="00B928C6">
        <w:rPr>
          <w:rFonts w:ascii="Times New Roman" w:hAnsi="Times New Roman"/>
          <w:i/>
        </w:rPr>
        <w:t>Support Option 2 for SRS carrier switching dropping rule, i.e.</w:t>
      </w:r>
      <w:r w:rsidR="00204146">
        <w:rPr>
          <w:rFonts w:ascii="Times New Roman" w:hAnsi="Times New Roman"/>
          <w:i/>
        </w:rPr>
        <w:t>,</w:t>
      </w:r>
      <w:r w:rsidRPr="00B928C6">
        <w:rPr>
          <w:rFonts w:ascii="Times New Roman" w:hAnsi="Times New Roman"/>
          <w:i/>
        </w:rPr>
        <w:t xml:space="preserve"> the dropping rule could be applied to any UL CC which can result in uplink transmission beyond UE's capability</w:t>
      </w:r>
      <w:r w:rsidR="00204146">
        <w:rPr>
          <w:rFonts w:ascii="Times New Roman" w:hAnsi="Times New Roman"/>
          <w:i/>
        </w:rPr>
        <w:t>.</w:t>
      </w:r>
    </w:p>
    <w:p w14:paraId="6EF0614C" w14:textId="2D1320A7" w:rsidR="00057AC8" w:rsidRPr="00B928C6" w:rsidRDefault="008072C2" w:rsidP="00B928C6">
      <w:pPr>
        <w:pStyle w:val="Heading2"/>
      </w:pPr>
      <w:r w:rsidRPr="00B928C6">
        <w:t>2.</w:t>
      </w:r>
      <w:r w:rsidR="00B928C6">
        <w:t>2</w:t>
      </w:r>
      <w:r w:rsidRPr="00B928C6">
        <w:t xml:space="preserve"> </w:t>
      </w:r>
      <w:r w:rsidR="00B928C6">
        <w:t>SRS carrier switching for multiple SRS sets triggered by one DCI</w:t>
      </w:r>
    </w:p>
    <w:p w14:paraId="75B91B95" w14:textId="6CF08729" w:rsidR="00B928C6" w:rsidRDefault="00107D08" w:rsidP="00F85C00">
      <w:pPr>
        <w:spacing w:before="120" w:after="0"/>
        <w:ind w:firstLine="288"/>
        <w:jc w:val="both"/>
        <w:rPr>
          <w:sz w:val="22"/>
          <w:szCs w:val="22"/>
          <w:lang w:val="en-US"/>
        </w:rPr>
      </w:pPr>
      <w:r>
        <w:rPr>
          <w:sz w:val="22"/>
          <w:szCs w:val="22"/>
          <w:lang w:val="en-US"/>
        </w:rPr>
        <w:t xml:space="preserve">Regarding SRS carrier switching, </w:t>
      </w:r>
      <w:r w:rsidR="00380C48">
        <w:rPr>
          <w:sz w:val="22"/>
          <w:szCs w:val="22"/>
          <w:lang w:val="en-US"/>
        </w:rPr>
        <w:t>the aperiodic SRS configured with usage of antenna switching will be used. In Rel-16 spec, multiple aperiodic SRS resource sets could be configured, for example, two aperiodic SRS resource sets could be configured for 1T4R operation. These two aperiodic SRS resource sets could be triggered by the same DCI and will be transmitted over different uplink slots.</w:t>
      </w:r>
    </w:p>
    <w:p w14:paraId="705634F0" w14:textId="16C21687" w:rsidR="00B928C6" w:rsidRDefault="00380C48" w:rsidP="00F85C00">
      <w:pPr>
        <w:spacing w:before="120" w:after="0"/>
        <w:ind w:firstLine="288"/>
        <w:jc w:val="both"/>
        <w:rPr>
          <w:sz w:val="22"/>
          <w:szCs w:val="22"/>
          <w:lang w:val="en-US"/>
        </w:rPr>
      </w:pPr>
      <w:r>
        <w:rPr>
          <w:sz w:val="22"/>
          <w:szCs w:val="22"/>
          <w:lang w:val="en-US"/>
        </w:rPr>
        <w:t xml:space="preserve">One thing not clear in the current spec on SRS carrier switching is whether the UE should switch back to the source CC during the </w:t>
      </w:r>
      <w:proofErr w:type="gramStart"/>
      <w:r>
        <w:rPr>
          <w:sz w:val="22"/>
          <w:szCs w:val="22"/>
          <w:lang w:val="en-US"/>
        </w:rPr>
        <w:t>time period</w:t>
      </w:r>
      <w:proofErr w:type="gramEnd"/>
      <w:r>
        <w:rPr>
          <w:sz w:val="22"/>
          <w:szCs w:val="22"/>
          <w:lang w:val="en-US"/>
        </w:rPr>
        <w:t xml:space="preserve"> between aperiodic SRS resource sets if multiple aperiodic SRS resource sets are triggered by the same DCI.</w:t>
      </w:r>
    </w:p>
    <w:p w14:paraId="63520C47" w14:textId="26CD157A" w:rsidR="00B928C6" w:rsidRDefault="00380C48" w:rsidP="00F85C00">
      <w:pPr>
        <w:spacing w:before="120" w:after="0"/>
        <w:ind w:firstLine="288"/>
        <w:jc w:val="both"/>
        <w:rPr>
          <w:sz w:val="22"/>
          <w:szCs w:val="22"/>
          <w:lang w:val="en-US"/>
        </w:rPr>
      </w:pPr>
      <w:r>
        <w:rPr>
          <w:sz w:val="22"/>
          <w:szCs w:val="22"/>
          <w:lang w:val="en-US"/>
        </w:rPr>
        <w:t>Depending on the time length between aperiodic SRS resource sets, different operation may be considered.</w:t>
      </w:r>
    </w:p>
    <w:p w14:paraId="24BDA869" w14:textId="1CFBBF65" w:rsidR="00380C48" w:rsidRDefault="00380C48" w:rsidP="00F85C00">
      <w:pPr>
        <w:spacing w:before="120" w:after="0"/>
        <w:ind w:firstLine="288"/>
        <w:jc w:val="both"/>
        <w:rPr>
          <w:sz w:val="22"/>
          <w:szCs w:val="22"/>
          <w:lang w:val="en-US"/>
        </w:rPr>
      </w:pPr>
      <w:r>
        <w:rPr>
          <w:sz w:val="22"/>
          <w:szCs w:val="22"/>
          <w:lang w:val="en-US"/>
        </w:rPr>
        <w:t xml:space="preserve">The first case is if the time length between aperiodic SRS resource sets is larger than the RF tuning time, then the UE </w:t>
      </w:r>
      <w:r w:rsidR="00B62B02">
        <w:rPr>
          <w:sz w:val="22"/>
          <w:szCs w:val="22"/>
          <w:lang w:val="en-US"/>
        </w:rPr>
        <w:t>may be able to</w:t>
      </w:r>
      <w:r>
        <w:rPr>
          <w:sz w:val="22"/>
          <w:szCs w:val="22"/>
          <w:lang w:val="en-US"/>
        </w:rPr>
        <w:t xml:space="preserve"> switch back to the source CC, as shown in </w:t>
      </w:r>
      <w:r>
        <w:rPr>
          <w:sz w:val="22"/>
          <w:szCs w:val="22"/>
          <w:lang w:val="en-US"/>
        </w:rPr>
        <w:fldChar w:fldCharType="begin"/>
      </w:r>
      <w:r>
        <w:rPr>
          <w:sz w:val="22"/>
          <w:szCs w:val="22"/>
          <w:lang w:val="en-US"/>
        </w:rPr>
        <w:instrText xml:space="preserve"> REF _Ref78968831 \h  \* MERGEFORMAT </w:instrText>
      </w:r>
      <w:r>
        <w:rPr>
          <w:sz w:val="22"/>
          <w:szCs w:val="22"/>
          <w:lang w:val="en-US"/>
        </w:rPr>
      </w:r>
      <w:r>
        <w:rPr>
          <w:sz w:val="22"/>
          <w:szCs w:val="22"/>
          <w:lang w:val="en-US"/>
        </w:rPr>
        <w:fldChar w:fldCharType="separate"/>
      </w:r>
      <w:r w:rsidRPr="00380C48">
        <w:rPr>
          <w:sz w:val="22"/>
          <w:szCs w:val="22"/>
          <w:lang w:val="en-US"/>
        </w:rPr>
        <w:t>Figure 1</w:t>
      </w:r>
      <w:r>
        <w:rPr>
          <w:sz w:val="22"/>
          <w:szCs w:val="22"/>
          <w:lang w:val="en-US"/>
        </w:rPr>
        <w:fldChar w:fldCharType="end"/>
      </w:r>
      <w:r>
        <w:rPr>
          <w:sz w:val="22"/>
          <w:szCs w:val="22"/>
          <w:lang w:val="en-US"/>
        </w:rPr>
        <w:t>.</w:t>
      </w:r>
    </w:p>
    <w:p w14:paraId="76CCD09C" w14:textId="743E6ECB" w:rsidR="00B928C6" w:rsidRDefault="008F12B7" w:rsidP="00107D08">
      <w:pPr>
        <w:spacing w:before="120" w:after="0"/>
        <w:jc w:val="center"/>
        <w:rPr>
          <w:sz w:val="22"/>
          <w:szCs w:val="22"/>
          <w:lang w:val="en-US"/>
        </w:rPr>
      </w:pPr>
      <w:r>
        <w:object w:dxaOrig="7608" w:dyaOrig="5448" w14:anchorId="4C071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72.4pt" o:ole="">
            <v:imagedata r:id="rId11" o:title=""/>
          </v:shape>
          <o:OLEObject Type="Embed" ProgID="Visio.Drawing.15" ShapeID="_x0000_i1025" DrawAspect="Content" ObjectID="_1689798481" r:id="rId12"/>
        </w:object>
      </w:r>
    </w:p>
    <w:p w14:paraId="06869B45" w14:textId="3F4D4BDF" w:rsidR="00B928C6" w:rsidRPr="00DC0758" w:rsidRDefault="00380C48" w:rsidP="00DC0758">
      <w:pPr>
        <w:pStyle w:val="Caption"/>
        <w:jc w:val="center"/>
      </w:pPr>
      <w:bookmarkStart w:id="0" w:name="_Ref78968831"/>
      <w:r>
        <w:t xml:space="preserve">Figure </w:t>
      </w:r>
      <w:r>
        <w:fldChar w:fldCharType="begin"/>
      </w:r>
      <w:r>
        <w:instrText xml:space="preserve"> SEQ Figure \* ARABIC </w:instrText>
      </w:r>
      <w:r>
        <w:fldChar w:fldCharType="separate"/>
      </w:r>
      <w:r w:rsidR="007B1400">
        <w:rPr>
          <w:noProof/>
        </w:rPr>
        <w:t>1</w:t>
      </w:r>
      <w:r>
        <w:fldChar w:fldCharType="end"/>
      </w:r>
      <w:bookmarkEnd w:id="0"/>
      <w:r>
        <w:t xml:space="preserve"> </w:t>
      </w:r>
      <w:r w:rsidR="00B20F0F">
        <w:t>SRS carrier switching operation (time between SRS sets larger than RF tuning time)</w:t>
      </w:r>
    </w:p>
    <w:p w14:paraId="056280EB" w14:textId="77F934EA" w:rsidR="00B928C6" w:rsidRDefault="00380C48" w:rsidP="00F85C00">
      <w:pPr>
        <w:spacing w:before="120" w:after="0"/>
        <w:ind w:firstLine="288"/>
        <w:jc w:val="both"/>
        <w:rPr>
          <w:sz w:val="22"/>
          <w:szCs w:val="22"/>
          <w:lang w:val="en-US"/>
        </w:rPr>
      </w:pPr>
      <w:r>
        <w:rPr>
          <w:sz w:val="22"/>
          <w:szCs w:val="22"/>
          <w:lang w:val="en-US"/>
        </w:rPr>
        <w:t xml:space="preserve">The second case is that the time length between aperiodic SRS resource sets is smaller than the RF tuning time, then if the UE switches back to the source CC, the time is not sufficient to transmit the second SRS resource sets. In </w:t>
      </w:r>
      <w:r w:rsidR="00B62B02">
        <w:rPr>
          <w:sz w:val="22"/>
          <w:szCs w:val="22"/>
          <w:lang w:val="en-US"/>
        </w:rPr>
        <w:t>such</w:t>
      </w:r>
      <w:r>
        <w:rPr>
          <w:sz w:val="22"/>
          <w:szCs w:val="22"/>
          <w:lang w:val="en-US"/>
        </w:rPr>
        <w:t xml:space="preserve"> case, the UE should stay in the target CC to transmit the SRS. </w:t>
      </w:r>
      <w:r>
        <w:rPr>
          <w:sz w:val="22"/>
          <w:szCs w:val="22"/>
          <w:lang w:val="en-US"/>
        </w:rPr>
        <w:fldChar w:fldCharType="begin"/>
      </w:r>
      <w:r>
        <w:rPr>
          <w:sz w:val="22"/>
          <w:szCs w:val="22"/>
          <w:lang w:val="en-US"/>
        </w:rPr>
        <w:instrText xml:space="preserve"> REF _Ref78968946 \h  \* MERGEFORMAT </w:instrText>
      </w:r>
      <w:r>
        <w:rPr>
          <w:sz w:val="22"/>
          <w:szCs w:val="22"/>
          <w:lang w:val="en-US"/>
        </w:rPr>
      </w:r>
      <w:r>
        <w:rPr>
          <w:sz w:val="22"/>
          <w:szCs w:val="22"/>
          <w:lang w:val="en-US"/>
        </w:rPr>
        <w:fldChar w:fldCharType="separate"/>
      </w:r>
      <w:r w:rsidRPr="00380C48">
        <w:rPr>
          <w:sz w:val="22"/>
          <w:szCs w:val="22"/>
          <w:lang w:val="en-US"/>
        </w:rPr>
        <w:t>Figure 2</w:t>
      </w:r>
      <w:r>
        <w:rPr>
          <w:sz w:val="22"/>
          <w:szCs w:val="22"/>
          <w:lang w:val="en-US"/>
        </w:rPr>
        <w:fldChar w:fldCharType="end"/>
      </w:r>
      <w:r>
        <w:rPr>
          <w:sz w:val="22"/>
          <w:szCs w:val="22"/>
          <w:lang w:val="en-US"/>
        </w:rPr>
        <w:t xml:space="preserve"> shows an example of the operation.</w:t>
      </w:r>
    </w:p>
    <w:p w14:paraId="47614CE6" w14:textId="276F98EE" w:rsidR="00B928C6" w:rsidRDefault="007B1400" w:rsidP="00107D08">
      <w:pPr>
        <w:spacing w:before="120" w:after="0"/>
        <w:jc w:val="center"/>
      </w:pPr>
      <w:r>
        <w:object w:dxaOrig="7609" w:dyaOrig="5437" w14:anchorId="0D41914B">
          <v:shape id="_x0000_i1026" type="#_x0000_t75" style="width:380.4pt;height:271.8pt" o:ole="">
            <v:imagedata r:id="rId13" o:title=""/>
          </v:shape>
          <o:OLEObject Type="Embed" ProgID="Visio.Drawing.15" ShapeID="_x0000_i1026" DrawAspect="Content" ObjectID="_1689798482" r:id="rId14"/>
        </w:object>
      </w:r>
    </w:p>
    <w:p w14:paraId="147632C4" w14:textId="3588C8EC" w:rsidR="00380C48" w:rsidRPr="00DC0758" w:rsidRDefault="00380C48" w:rsidP="00DC0758">
      <w:pPr>
        <w:pStyle w:val="Caption"/>
        <w:jc w:val="center"/>
      </w:pPr>
      <w:bookmarkStart w:id="1" w:name="_Ref78968946"/>
      <w:r>
        <w:t xml:space="preserve">Figure </w:t>
      </w:r>
      <w:r>
        <w:fldChar w:fldCharType="begin"/>
      </w:r>
      <w:r>
        <w:instrText xml:space="preserve"> SEQ Figure \* ARABIC </w:instrText>
      </w:r>
      <w:r>
        <w:fldChar w:fldCharType="separate"/>
      </w:r>
      <w:r w:rsidR="007B1400">
        <w:rPr>
          <w:noProof/>
        </w:rPr>
        <w:t>2</w:t>
      </w:r>
      <w:r>
        <w:fldChar w:fldCharType="end"/>
      </w:r>
      <w:bookmarkEnd w:id="1"/>
      <w:r w:rsidR="00B20F0F" w:rsidRPr="00B20F0F">
        <w:t xml:space="preserve"> </w:t>
      </w:r>
      <w:r w:rsidR="00B20F0F">
        <w:t>SRS carrier switching operation (time between SRS sets smaller than RF tuning time)</w:t>
      </w:r>
    </w:p>
    <w:p w14:paraId="1A8B66FB" w14:textId="701BB195" w:rsidR="00B928C6" w:rsidRDefault="0040374D" w:rsidP="00F85C00">
      <w:pPr>
        <w:spacing w:before="120" w:after="0"/>
        <w:ind w:firstLine="288"/>
        <w:jc w:val="both"/>
        <w:rPr>
          <w:sz w:val="22"/>
          <w:szCs w:val="22"/>
          <w:lang w:val="en-US"/>
        </w:rPr>
      </w:pPr>
      <w:r>
        <w:rPr>
          <w:sz w:val="22"/>
          <w:szCs w:val="22"/>
          <w:lang w:val="en-US"/>
        </w:rPr>
        <w:t>Therefore, we think the UE behavior should be clarified for SRS carrier switching if multiple aperiodic SRS resource sets are triggered by the same DCI.</w:t>
      </w:r>
    </w:p>
    <w:p w14:paraId="73DC5651" w14:textId="77777777" w:rsidR="007B5CF9" w:rsidRPr="003D5083" w:rsidRDefault="007B5CF9" w:rsidP="007B5CF9">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66E84B13" w14:textId="296B3367" w:rsidR="007B5CF9" w:rsidRDefault="00114D5C" w:rsidP="007B5CF9">
      <w:pPr>
        <w:pStyle w:val="ListParagraph"/>
        <w:numPr>
          <w:ilvl w:val="0"/>
          <w:numId w:val="21"/>
        </w:numPr>
        <w:spacing w:before="120"/>
        <w:jc w:val="both"/>
        <w:rPr>
          <w:rFonts w:ascii="Times New Roman" w:hAnsi="Times New Roman"/>
          <w:i/>
        </w:rPr>
      </w:pPr>
      <w:r w:rsidRPr="00114D5C">
        <w:rPr>
          <w:rFonts w:ascii="Times New Roman" w:hAnsi="Times New Roman"/>
          <w:i/>
        </w:rPr>
        <w:t>RAN1 to clarify when multiple SRS resource sets are triggered by single DCI, whether the UE should stay in the target CC or not during the period between the triggered SRS resource sets</w:t>
      </w:r>
      <w:r>
        <w:rPr>
          <w:rFonts w:ascii="Times New Roman" w:hAnsi="Times New Roman"/>
          <w:i/>
        </w:rPr>
        <w:t>.</w:t>
      </w:r>
    </w:p>
    <w:p w14:paraId="0CE02B8A" w14:textId="1F823E34" w:rsidR="00B928C6" w:rsidRPr="00B928C6" w:rsidRDefault="00B928C6" w:rsidP="00B928C6">
      <w:pPr>
        <w:pStyle w:val="Heading2"/>
      </w:pPr>
      <w:r w:rsidRPr="00B928C6">
        <w:t>2.3 Timeline consideration for multiple SRS sets triggered by one DCI</w:t>
      </w:r>
    </w:p>
    <w:p w14:paraId="1E67CFF2" w14:textId="628AE9C0" w:rsidR="00B928C6" w:rsidRDefault="00050FFE" w:rsidP="00F85C00">
      <w:pPr>
        <w:spacing w:before="120" w:after="0"/>
        <w:ind w:firstLine="288"/>
        <w:jc w:val="both"/>
        <w:rPr>
          <w:sz w:val="22"/>
          <w:szCs w:val="22"/>
          <w:lang w:val="en-US"/>
        </w:rPr>
      </w:pPr>
      <w:r>
        <w:rPr>
          <w:sz w:val="22"/>
          <w:szCs w:val="22"/>
          <w:lang w:val="en-US"/>
        </w:rPr>
        <w:t>In previous meeting, the timeline operation was agreed for SRS carrier switching. When the UE performs collision handling for SRS carrier switching, there is deadline whether to consider the DCI triggering the SRS and other uplink signals.</w:t>
      </w:r>
    </w:p>
    <w:p w14:paraId="5146E562" w14:textId="14C415DC" w:rsidR="00B928C6" w:rsidRDefault="00050FFE" w:rsidP="00F85C00">
      <w:pPr>
        <w:spacing w:before="120" w:after="0"/>
        <w:ind w:firstLine="288"/>
        <w:jc w:val="both"/>
        <w:rPr>
          <w:sz w:val="22"/>
          <w:szCs w:val="22"/>
          <w:lang w:val="en-US"/>
        </w:rPr>
      </w:pPr>
      <w:r>
        <w:rPr>
          <w:sz w:val="22"/>
          <w:szCs w:val="22"/>
          <w:lang w:val="en-US"/>
        </w:rPr>
        <w:t>However, when multiple aperiodic SRS resource sets for carrier switching are triggered by the same DCI, it’s not clear on the timeline operation. Whether the same deadline should be applied for all the triggered aperiodic SRS resource sets or individual deadline could be applied for each triggered aperiodic SRS resource set?</w:t>
      </w:r>
    </w:p>
    <w:p w14:paraId="0CA558EF" w14:textId="6FEF931B" w:rsidR="00B928C6" w:rsidRDefault="007B1400" w:rsidP="00F85C00">
      <w:pPr>
        <w:spacing w:before="120" w:after="0"/>
        <w:ind w:firstLine="288"/>
        <w:jc w:val="both"/>
        <w:rPr>
          <w:sz w:val="22"/>
          <w:szCs w:val="22"/>
          <w:lang w:val="en-US"/>
        </w:rPr>
      </w:pPr>
      <w:r>
        <w:rPr>
          <w:sz w:val="22"/>
          <w:szCs w:val="22"/>
          <w:lang w:val="en-US"/>
        </w:rPr>
        <w:fldChar w:fldCharType="begin"/>
      </w:r>
      <w:r>
        <w:rPr>
          <w:sz w:val="22"/>
          <w:szCs w:val="22"/>
          <w:lang w:val="en-US"/>
        </w:rPr>
        <w:instrText xml:space="preserve"> REF _Ref78993651 \h </w:instrText>
      </w:r>
      <w:r w:rsidR="00E75D6C">
        <w:rPr>
          <w:sz w:val="22"/>
          <w:szCs w:val="22"/>
          <w:lang w:val="en-US"/>
        </w:rPr>
        <w:instrText xml:space="preserve"> \* MERGEFORMAT </w:instrText>
      </w:r>
      <w:r>
        <w:rPr>
          <w:sz w:val="22"/>
          <w:szCs w:val="22"/>
          <w:lang w:val="en-US"/>
        </w:rPr>
      </w:r>
      <w:r>
        <w:rPr>
          <w:sz w:val="22"/>
          <w:szCs w:val="22"/>
          <w:lang w:val="en-US"/>
        </w:rPr>
        <w:fldChar w:fldCharType="separate"/>
      </w:r>
      <w:r w:rsidRPr="00E75D6C">
        <w:rPr>
          <w:sz w:val="22"/>
          <w:szCs w:val="22"/>
          <w:lang w:val="en-US"/>
        </w:rPr>
        <w:t>Figure 3</w:t>
      </w:r>
      <w:r>
        <w:rPr>
          <w:sz w:val="22"/>
          <w:szCs w:val="22"/>
          <w:lang w:val="en-US"/>
        </w:rPr>
        <w:fldChar w:fldCharType="end"/>
      </w:r>
      <w:r>
        <w:rPr>
          <w:sz w:val="22"/>
          <w:szCs w:val="22"/>
          <w:lang w:val="en-US"/>
        </w:rPr>
        <w:t xml:space="preserve"> shows an example that individual timeline is performed for each</w:t>
      </w:r>
      <w:r w:rsidR="00E75D6C">
        <w:rPr>
          <w:sz w:val="22"/>
          <w:szCs w:val="22"/>
          <w:lang w:val="en-US"/>
        </w:rPr>
        <w:t xml:space="preserve"> aperiodic SRS resource set triggered by the same DCI. In </w:t>
      </w:r>
      <w:r w:rsidR="00E75D6C">
        <w:rPr>
          <w:sz w:val="22"/>
          <w:szCs w:val="22"/>
          <w:lang w:val="en-US"/>
        </w:rPr>
        <w:fldChar w:fldCharType="begin"/>
      </w:r>
      <w:r w:rsidR="00E75D6C">
        <w:rPr>
          <w:sz w:val="22"/>
          <w:szCs w:val="22"/>
          <w:lang w:val="en-US"/>
        </w:rPr>
        <w:instrText xml:space="preserve"> REF _Ref78993651 \h  \* MERGEFORMAT </w:instrText>
      </w:r>
      <w:r w:rsidR="00E75D6C">
        <w:rPr>
          <w:sz w:val="22"/>
          <w:szCs w:val="22"/>
          <w:lang w:val="en-US"/>
        </w:rPr>
      </w:r>
      <w:r w:rsidR="00E75D6C">
        <w:rPr>
          <w:sz w:val="22"/>
          <w:szCs w:val="22"/>
          <w:lang w:val="en-US"/>
        </w:rPr>
        <w:fldChar w:fldCharType="separate"/>
      </w:r>
      <w:r w:rsidR="00E75D6C" w:rsidRPr="00E75D6C">
        <w:rPr>
          <w:sz w:val="22"/>
          <w:szCs w:val="22"/>
          <w:lang w:val="en-US"/>
        </w:rPr>
        <w:t>Figure 3</w:t>
      </w:r>
      <w:r w:rsidR="00E75D6C">
        <w:rPr>
          <w:sz w:val="22"/>
          <w:szCs w:val="22"/>
          <w:lang w:val="en-US"/>
        </w:rPr>
        <w:fldChar w:fldCharType="end"/>
      </w:r>
      <w:r w:rsidR="00E75D6C">
        <w:rPr>
          <w:sz w:val="22"/>
          <w:szCs w:val="22"/>
          <w:lang w:val="en-US"/>
        </w:rPr>
        <w:t>, t</w:t>
      </w:r>
      <w:r w:rsidR="00E75D6C" w:rsidRPr="00E75D6C">
        <w:rPr>
          <w:sz w:val="22"/>
          <w:szCs w:val="22"/>
          <w:lang w:val="en-US"/>
        </w:rPr>
        <w:t xml:space="preserve">he time instance K1 is deadline to make decision whether SRS set #A should be transmitted according to collision handling. The time instance K2 is deadline to make decision whether SRS set #B should be transmitted according to collision handling. At time instance K3, there is DCI scheduling high priority </w:t>
      </w:r>
      <w:r w:rsidR="00E75D6C">
        <w:rPr>
          <w:sz w:val="22"/>
          <w:szCs w:val="22"/>
          <w:lang w:val="en-US"/>
        </w:rPr>
        <w:t xml:space="preserve">transmission </w:t>
      </w:r>
      <w:r w:rsidR="00E75D6C" w:rsidRPr="00E75D6C">
        <w:rPr>
          <w:sz w:val="22"/>
          <w:szCs w:val="22"/>
          <w:lang w:val="en-US"/>
        </w:rPr>
        <w:t>over the source CC</w:t>
      </w:r>
      <w:r w:rsidR="00E75D6C">
        <w:rPr>
          <w:sz w:val="22"/>
          <w:szCs w:val="22"/>
          <w:lang w:val="en-US"/>
        </w:rPr>
        <w:t>.</w:t>
      </w:r>
    </w:p>
    <w:p w14:paraId="54EB740F" w14:textId="6BAA19F8" w:rsidR="00E75D6C" w:rsidRDefault="00E75D6C" w:rsidP="00F85C00">
      <w:pPr>
        <w:spacing w:before="120" w:after="0"/>
        <w:ind w:firstLine="288"/>
        <w:jc w:val="both"/>
        <w:rPr>
          <w:sz w:val="22"/>
          <w:szCs w:val="22"/>
          <w:lang w:val="en-US"/>
        </w:rPr>
      </w:pPr>
      <w:r>
        <w:rPr>
          <w:sz w:val="22"/>
          <w:szCs w:val="22"/>
          <w:lang w:val="en-US"/>
        </w:rPr>
        <w:t>At K1, since the DCI scheduling high priority transmission is not received yet, the UE will decide to transmit SRS resource set #A.</w:t>
      </w:r>
    </w:p>
    <w:p w14:paraId="32D51A73" w14:textId="3B036E23" w:rsidR="000E4307" w:rsidRDefault="000E4307" w:rsidP="00F85C00">
      <w:pPr>
        <w:spacing w:before="120" w:after="0"/>
        <w:ind w:firstLine="288"/>
        <w:jc w:val="both"/>
        <w:rPr>
          <w:sz w:val="22"/>
          <w:szCs w:val="22"/>
          <w:lang w:val="en-US"/>
        </w:rPr>
      </w:pPr>
      <w:r>
        <w:rPr>
          <w:sz w:val="22"/>
          <w:szCs w:val="22"/>
          <w:lang w:val="en-US"/>
        </w:rPr>
        <w:t>At K2, when determining whether SRS resource set #B should be transmitted, the DCI received at K3 will be considered since it’s received before K2. And according to the collision handling rule, SRS resource set #B should be dropped. However, since the UE already transmits SRS resource set #A, the time is not sufficient for the UE to switch back to the source CC to transmit the high priority signal. So, it should be clarified how to handle SRS resource set #B is such case.</w:t>
      </w:r>
    </w:p>
    <w:p w14:paraId="57EF1E13" w14:textId="2F9D8F94" w:rsidR="00B928C6" w:rsidRDefault="000E4307" w:rsidP="00107D08">
      <w:pPr>
        <w:spacing w:before="120" w:after="0"/>
        <w:jc w:val="center"/>
      </w:pPr>
      <w:r>
        <w:object w:dxaOrig="7608" w:dyaOrig="6480" w14:anchorId="7DB5E208">
          <v:shape id="_x0000_i1027" type="#_x0000_t75" style="width:380.4pt;height:324pt" o:ole="">
            <v:imagedata r:id="rId15" o:title=""/>
          </v:shape>
          <o:OLEObject Type="Embed" ProgID="Visio.Drawing.15" ShapeID="_x0000_i1027" DrawAspect="Content" ObjectID="_1689798483" r:id="rId16"/>
        </w:object>
      </w:r>
    </w:p>
    <w:p w14:paraId="38B80B3F" w14:textId="4CA92E84" w:rsidR="007B1400" w:rsidRPr="007B1400" w:rsidRDefault="007B1400" w:rsidP="007B1400">
      <w:pPr>
        <w:pStyle w:val="Caption"/>
        <w:jc w:val="center"/>
      </w:pPr>
      <w:bookmarkStart w:id="2" w:name="_Ref78993651"/>
      <w:r>
        <w:t xml:space="preserve">Figure </w:t>
      </w:r>
      <w:r>
        <w:fldChar w:fldCharType="begin"/>
      </w:r>
      <w:r>
        <w:instrText xml:space="preserve"> SEQ Figure \* ARABIC </w:instrText>
      </w:r>
      <w:r>
        <w:fldChar w:fldCharType="separate"/>
      </w:r>
      <w:r>
        <w:t>3</w:t>
      </w:r>
      <w:r>
        <w:fldChar w:fldCharType="end"/>
      </w:r>
      <w:bookmarkEnd w:id="2"/>
      <w:r w:rsidR="000E4307">
        <w:t xml:space="preserve"> Individual timeline for each triggered aperiodic SRS resource set</w:t>
      </w:r>
    </w:p>
    <w:p w14:paraId="48785A3E" w14:textId="26AA2888" w:rsidR="00EB5520" w:rsidRDefault="00EB5520" w:rsidP="00EB5520">
      <w:pPr>
        <w:spacing w:before="120" w:after="0"/>
        <w:ind w:firstLine="288"/>
        <w:jc w:val="both"/>
        <w:rPr>
          <w:sz w:val="22"/>
          <w:szCs w:val="22"/>
          <w:lang w:val="en-US"/>
        </w:rPr>
      </w:pPr>
      <w:r>
        <w:rPr>
          <w:sz w:val="22"/>
          <w:szCs w:val="22"/>
          <w:lang w:val="en-US"/>
        </w:rPr>
        <w:t>If the same deadline is applied to all the triggered aperiodic SRS resource sets, i.e., K1 is the deadline to determine collision handling for both SRS resource set #A and #B, then SRS resource set #B should be transmitted.</w:t>
      </w:r>
    </w:p>
    <w:p w14:paraId="5A3136D1" w14:textId="290190E9" w:rsidR="00EB5520" w:rsidRDefault="00EB5520" w:rsidP="00EB5520">
      <w:pPr>
        <w:spacing w:before="120" w:after="0"/>
        <w:ind w:firstLine="288"/>
        <w:jc w:val="both"/>
        <w:rPr>
          <w:sz w:val="22"/>
          <w:szCs w:val="22"/>
          <w:lang w:val="en-US"/>
        </w:rPr>
      </w:pPr>
      <w:r>
        <w:rPr>
          <w:sz w:val="22"/>
          <w:szCs w:val="22"/>
          <w:lang w:val="en-US"/>
        </w:rPr>
        <w:t>Therefore, we have the following proposal.</w:t>
      </w:r>
    </w:p>
    <w:p w14:paraId="51D51709" w14:textId="72EFA7C2" w:rsidR="00EB5520" w:rsidRPr="003D5083" w:rsidRDefault="00EB5520" w:rsidP="00EB5520">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06AE9D7C" w14:textId="277A5E65" w:rsidR="007B5CF9" w:rsidRDefault="00EB5520" w:rsidP="007B5CF9">
      <w:pPr>
        <w:pStyle w:val="ListParagraph"/>
        <w:numPr>
          <w:ilvl w:val="0"/>
          <w:numId w:val="21"/>
        </w:numPr>
        <w:spacing w:before="120"/>
        <w:jc w:val="both"/>
        <w:rPr>
          <w:rFonts w:ascii="Times New Roman" w:hAnsi="Times New Roman"/>
          <w:i/>
        </w:rPr>
      </w:pPr>
      <w:r>
        <w:rPr>
          <w:rFonts w:ascii="Times New Roman" w:hAnsi="Times New Roman"/>
          <w:i/>
        </w:rPr>
        <w:t>I</w:t>
      </w:r>
      <w:r w:rsidRPr="00114D5C">
        <w:rPr>
          <w:rFonts w:ascii="Times New Roman" w:hAnsi="Times New Roman"/>
          <w:i/>
        </w:rPr>
        <w:t xml:space="preserve">n the case that multiple SRS resource sets are triggered by </w:t>
      </w:r>
      <w:r>
        <w:rPr>
          <w:rFonts w:ascii="Times New Roman" w:hAnsi="Times New Roman"/>
          <w:i/>
        </w:rPr>
        <w:t>the same</w:t>
      </w:r>
      <w:r w:rsidRPr="00114D5C">
        <w:rPr>
          <w:rFonts w:ascii="Times New Roman" w:hAnsi="Times New Roman"/>
          <w:i/>
        </w:rPr>
        <w:t xml:space="preserve"> DCI</w:t>
      </w:r>
      <w:r>
        <w:rPr>
          <w:rFonts w:ascii="Times New Roman" w:hAnsi="Times New Roman"/>
          <w:i/>
        </w:rPr>
        <w:t>,</w:t>
      </w:r>
      <w:r w:rsidRPr="00114D5C">
        <w:rPr>
          <w:rFonts w:ascii="Times New Roman" w:hAnsi="Times New Roman"/>
          <w:i/>
        </w:rPr>
        <w:t xml:space="preserve"> </w:t>
      </w:r>
      <w:r w:rsidR="00114D5C" w:rsidRPr="00114D5C">
        <w:rPr>
          <w:rFonts w:ascii="Times New Roman" w:hAnsi="Times New Roman"/>
          <w:i/>
        </w:rPr>
        <w:t xml:space="preserve">RAN1 to clarify whether </w:t>
      </w:r>
      <w:r>
        <w:rPr>
          <w:rFonts w:ascii="Times New Roman" w:hAnsi="Times New Roman"/>
          <w:i/>
        </w:rPr>
        <w:t xml:space="preserve">individual </w:t>
      </w:r>
      <w:r w:rsidR="00114D5C" w:rsidRPr="00114D5C">
        <w:rPr>
          <w:rFonts w:ascii="Times New Roman" w:hAnsi="Times New Roman"/>
          <w:i/>
        </w:rPr>
        <w:t xml:space="preserve">timeline operation is applied to </w:t>
      </w:r>
      <w:r>
        <w:rPr>
          <w:rFonts w:ascii="Times New Roman" w:hAnsi="Times New Roman"/>
          <w:i/>
        </w:rPr>
        <w:t>each</w:t>
      </w:r>
      <w:r w:rsidR="00114D5C" w:rsidRPr="00114D5C">
        <w:rPr>
          <w:rFonts w:ascii="Times New Roman" w:hAnsi="Times New Roman"/>
          <w:i/>
        </w:rPr>
        <w:t xml:space="preserve"> triggered SRS resource set</w:t>
      </w:r>
      <w:r>
        <w:rPr>
          <w:rFonts w:ascii="Times New Roman" w:hAnsi="Times New Roman"/>
          <w:i/>
        </w:rPr>
        <w:t>, or the same timeline is applied to all the triggered SRS resource sets.</w:t>
      </w:r>
    </w:p>
    <w:p w14:paraId="4A41C859" w14:textId="7114A5FF" w:rsidR="00B80D06" w:rsidRDefault="00B80D06" w:rsidP="00B80D06">
      <w:pPr>
        <w:pStyle w:val="Heading1"/>
        <w:numPr>
          <w:ilvl w:val="0"/>
          <w:numId w:val="5"/>
        </w:numPr>
      </w:pPr>
      <w:r>
        <w:t>Conclusion</w:t>
      </w:r>
    </w:p>
    <w:p w14:paraId="33229481" w14:textId="345083E5" w:rsidR="000E6355" w:rsidRDefault="00633CAF" w:rsidP="00A65744">
      <w:pPr>
        <w:ind w:firstLine="284"/>
        <w:jc w:val="both"/>
        <w:rPr>
          <w:sz w:val="22"/>
          <w:szCs w:val="22"/>
        </w:rPr>
      </w:pPr>
      <w:r>
        <w:rPr>
          <w:sz w:val="22"/>
          <w:szCs w:val="22"/>
        </w:rPr>
        <w:t xml:space="preserve">In conclusion, we have the following proposals </w:t>
      </w:r>
      <w:r w:rsidR="000B0242">
        <w:rPr>
          <w:sz w:val="22"/>
          <w:szCs w:val="22"/>
        </w:rPr>
        <w:t>on SRS carrier switching operation</w:t>
      </w:r>
      <w:r w:rsidR="00575F55">
        <w:rPr>
          <w:sz w:val="22"/>
          <w:szCs w:val="22"/>
        </w:rPr>
        <w:t>.</w:t>
      </w:r>
    </w:p>
    <w:p w14:paraId="341FD69C" w14:textId="77777777" w:rsidR="00204146" w:rsidRPr="003D5083" w:rsidRDefault="00204146" w:rsidP="00204146">
      <w:pPr>
        <w:spacing w:before="120" w:after="0"/>
        <w:ind w:firstLine="284"/>
        <w:jc w:val="both"/>
        <w:rPr>
          <w:b/>
          <w:i/>
          <w:sz w:val="22"/>
          <w:szCs w:val="22"/>
        </w:rPr>
      </w:pPr>
      <w:r w:rsidRPr="003D5083">
        <w:rPr>
          <w:b/>
          <w:i/>
          <w:sz w:val="22"/>
          <w:szCs w:val="22"/>
        </w:rPr>
        <w:t>Proposal 1:</w:t>
      </w:r>
    </w:p>
    <w:p w14:paraId="4478F810" w14:textId="77777777" w:rsidR="00204146" w:rsidRDefault="00204146" w:rsidP="00204146">
      <w:pPr>
        <w:pStyle w:val="ListParagraph"/>
        <w:numPr>
          <w:ilvl w:val="0"/>
          <w:numId w:val="21"/>
        </w:numPr>
        <w:spacing w:before="120"/>
        <w:jc w:val="both"/>
        <w:rPr>
          <w:rFonts w:ascii="Times New Roman" w:hAnsi="Times New Roman"/>
          <w:i/>
        </w:rPr>
      </w:pPr>
      <w:r w:rsidRPr="00B928C6">
        <w:rPr>
          <w:rFonts w:ascii="Times New Roman" w:hAnsi="Times New Roman"/>
          <w:i/>
        </w:rPr>
        <w:t>Support Option 2 for SRS carrier switching dropping rule, i.e.</w:t>
      </w:r>
      <w:r>
        <w:rPr>
          <w:rFonts w:ascii="Times New Roman" w:hAnsi="Times New Roman"/>
          <w:i/>
        </w:rPr>
        <w:t>,</w:t>
      </w:r>
      <w:r w:rsidRPr="00B928C6">
        <w:rPr>
          <w:rFonts w:ascii="Times New Roman" w:hAnsi="Times New Roman"/>
          <w:i/>
        </w:rPr>
        <w:t xml:space="preserve"> the dropping rule could be applied to any UL CC which can result in uplink transmission beyond UE's capability</w:t>
      </w:r>
      <w:r>
        <w:rPr>
          <w:rFonts w:ascii="Times New Roman" w:hAnsi="Times New Roman"/>
          <w:i/>
        </w:rPr>
        <w:t>.</w:t>
      </w:r>
    </w:p>
    <w:p w14:paraId="12DF8D05" w14:textId="77777777" w:rsidR="00204146" w:rsidRPr="003D5083" w:rsidRDefault="00204146" w:rsidP="00204146">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2531BA4E" w14:textId="77777777" w:rsidR="00204146" w:rsidRDefault="00204146" w:rsidP="00204146">
      <w:pPr>
        <w:pStyle w:val="ListParagraph"/>
        <w:numPr>
          <w:ilvl w:val="0"/>
          <w:numId w:val="21"/>
        </w:numPr>
        <w:spacing w:before="120"/>
        <w:jc w:val="both"/>
        <w:rPr>
          <w:rFonts w:ascii="Times New Roman" w:hAnsi="Times New Roman"/>
          <w:i/>
        </w:rPr>
      </w:pPr>
      <w:r w:rsidRPr="00114D5C">
        <w:rPr>
          <w:rFonts w:ascii="Times New Roman" w:hAnsi="Times New Roman"/>
          <w:i/>
        </w:rPr>
        <w:t>RAN1 to clarify when multiple SRS resource sets are triggered by single DCI, whether the UE should stay in the target CC or not during the period between the triggered SRS resource sets</w:t>
      </w:r>
      <w:r>
        <w:rPr>
          <w:rFonts w:ascii="Times New Roman" w:hAnsi="Times New Roman"/>
          <w:i/>
        </w:rPr>
        <w:t>.</w:t>
      </w:r>
    </w:p>
    <w:p w14:paraId="4D4FC6FB" w14:textId="77777777" w:rsidR="00204146" w:rsidRPr="003D5083" w:rsidRDefault="00204146" w:rsidP="00204146">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089176EF" w14:textId="77777777" w:rsidR="00204146" w:rsidRDefault="00204146" w:rsidP="00204146">
      <w:pPr>
        <w:pStyle w:val="ListParagraph"/>
        <w:numPr>
          <w:ilvl w:val="0"/>
          <w:numId w:val="21"/>
        </w:numPr>
        <w:spacing w:before="120"/>
        <w:jc w:val="both"/>
        <w:rPr>
          <w:rFonts w:ascii="Times New Roman" w:hAnsi="Times New Roman"/>
          <w:i/>
        </w:rPr>
      </w:pPr>
      <w:r>
        <w:rPr>
          <w:rFonts w:ascii="Times New Roman" w:hAnsi="Times New Roman"/>
          <w:i/>
        </w:rPr>
        <w:lastRenderedPageBreak/>
        <w:t>I</w:t>
      </w:r>
      <w:r w:rsidRPr="00114D5C">
        <w:rPr>
          <w:rFonts w:ascii="Times New Roman" w:hAnsi="Times New Roman"/>
          <w:i/>
        </w:rPr>
        <w:t xml:space="preserve">n the case that multiple SRS resource sets are triggered by </w:t>
      </w:r>
      <w:r>
        <w:rPr>
          <w:rFonts w:ascii="Times New Roman" w:hAnsi="Times New Roman"/>
          <w:i/>
        </w:rPr>
        <w:t>the same</w:t>
      </w:r>
      <w:r w:rsidRPr="00114D5C">
        <w:rPr>
          <w:rFonts w:ascii="Times New Roman" w:hAnsi="Times New Roman"/>
          <w:i/>
        </w:rPr>
        <w:t xml:space="preserve"> DCI</w:t>
      </w:r>
      <w:r>
        <w:rPr>
          <w:rFonts w:ascii="Times New Roman" w:hAnsi="Times New Roman"/>
          <w:i/>
        </w:rPr>
        <w:t>,</w:t>
      </w:r>
      <w:r w:rsidRPr="00114D5C">
        <w:rPr>
          <w:rFonts w:ascii="Times New Roman" w:hAnsi="Times New Roman"/>
          <w:i/>
        </w:rPr>
        <w:t xml:space="preserve"> RAN1 to clarify whether </w:t>
      </w:r>
      <w:r>
        <w:rPr>
          <w:rFonts w:ascii="Times New Roman" w:hAnsi="Times New Roman"/>
          <w:i/>
        </w:rPr>
        <w:t xml:space="preserve">individual </w:t>
      </w:r>
      <w:r w:rsidRPr="00114D5C">
        <w:rPr>
          <w:rFonts w:ascii="Times New Roman" w:hAnsi="Times New Roman"/>
          <w:i/>
        </w:rPr>
        <w:t xml:space="preserve">timeline operation is applied to </w:t>
      </w:r>
      <w:r>
        <w:rPr>
          <w:rFonts w:ascii="Times New Roman" w:hAnsi="Times New Roman"/>
          <w:i/>
        </w:rPr>
        <w:t>each</w:t>
      </w:r>
      <w:r w:rsidRPr="00114D5C">
        <w:rPr>
          <w:rFonts w:ascii="Times New Roman" w:hAnsi="Times New Roman"/>
          <w:i/>
        </w:rPr>
        <w:t xml:space="preserve"> triggered SRS resource set</w:t>
      </w:r>
      <w:r>
        <w:rPr>
          <w:rFonts w:ascii="Times New Roman" w:hAnsi="Times New Roman"/>
          <w:i/>
        </w:rPr>
        <w:t>, or the same timeline is applied to all the triggered SRS resource sets.</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05838E76"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5B9F92DC"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7489BDC7"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05D987B9" w:rsidR="00F75CDB" w:rsidRDefault="00F75CDB" w:rsidP="00284428">
      <w:pPr>
        <w:numPr>
          <w:ilvl w:val="0"/>
          <w:numId w:val="2"/>
        </w:numPr>
        <w:rPr>
          <w:sz w:val="22"/>
          <w:szCs w:val="22"/>
          <w:lang w:val="en-US" w:eastAsia="zh-CN"/>
        </w:rPr>
      </w:pPr>
      <w:bookmarkStart w:id="3" w:name="_Ref54277122"/>
      <w:r>
        <w:rPr>
          <w:sz w:val="22"/>
          <w:szCs w:val="22"/>
          <w:lang w:val="en-US" w:eastAsia="zh-CN"/>
        </w:rPr>
        <w:t>3GPP TS 38.214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3"/>
    </w:p>
    <w:p w14:paraId="6FB51C19" w14:textId="738CB418"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380F42">
        <w:rPr>
          <w:sz w:val="22"/>
          <w:szCs w:val="22"/>
          <w:lang w:val="en-US" w:eastAsia="zh-CN"/>
        </w:rPr>
        <w:t>5.0</w:t>
      </w:r>
      <w:r>
        <w:rPr>
          <w:sz w:val="22"/>
          <w:szCs w:val="22"/>
          <w:lang w:val="en-US" w:eastAsia="zh-CN"/>
        </w:rPr>
        <w:t xml:space="preserve">, </w:t>
      </w:r>
      <w:r w:rsidRPr="00284428">
        <w:rPr>
          <w:sz w:val="22"/>
          <w:szCs w:val="22"/>
          <w:lang w:val="en-US" w:eastAsia="zh-CN"/>
        </w:rPr>
        <w:t>Radio Resource Control (RRC) protocol specification</w:t>
      </w:r>
    </w:p>
    <w:p w14:paraId="67ACEC62" w14:textId="18CF7F10"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w:t>
      </w:r>
      <w:r w:rsidR="008B34CA">
        <w:rPr>
          <w:sz w:val="22"/>
          <w:szCs w:val="22"/>
          <w:lang w:val="en-US" w:eastAsia="zh-CN"/>
        </w:rPr>
        <w:t>5</w:t>
      </w:r>
      <w:r>
        <w:rPr>
          <w:sz w:val="22"/>
          <w:szCs w:val="22"/>
          <w:lang w:val="en-US" w:eastAsia="zh-CN"/>
        </w:rPr>
        <w:t>-e</w:t>
      </w:r>
      <w:r w:rsidRPr="0029532F">
        <w:rPr>
          <w:sz w:val="22"/>
          <w:szCs w:val="22"/>
          <w:lang w:val="en-US" w:eastAsia="zh-CN"/>
        </w:rPr>
        <w:t xml:space="preserve">, </w:t>
      </w:r>
      <w:r w:rsidR="0098156E">
        <w:rPr>
          <w:sz w:val="22"/>
          <w:szCs w:val="22"/>
          <w:lang w:val="en-US" w:eastAsia="zh-CN"/>
        </w:rPr>
        <w:t>May</w:t>
      </w:r>
      <w:r w:rsidR="0088295A" w:rsidRPr="0088295A">
        <w:rPr>
          <w:sz w:val="22"/>
          <w:szCs w:val="22"/>
          <w:lang w:val="en-US" w:eastAsia="zh-CN"/>
        </w:rPr>
        <w:t xml:space="preserve"> </w:t>
      </w:r>
      <w:r w:rsidR="008A67B4">
        <w:rPr>
          <w:sz w:val="22"/>
          <w:szCs w:val="22"/>
          <w:lang w:val="en-US" w:eastAsia="zh-CN"/>
        </w:rPr>
        <w:t>1</w:t>
      </w:r>
      <w:r w:rsidR="0098156E">
        <w:rPr>
          <w:sz w:val="22"/>
          <w:szCs w:val="22"/>
          <w:lang w:val="en-US" w:eastAsia="zh-CN"/>
        </w:rPr>
        <w:t>0</w:t>
      </w:r>
      <w:r w:rsidR="0088295A" w:rsidRPr="0088295A">
        <w:rPr>
          <w:sz w:val="22"/>
          <w:szCs w:val="22"/>
          <w:lang w:val="en-US" w:eastAsia="zh-CN"/>
        </w:rPr>
        <w:t xml:space="preserve"> – </w:t>
      </w:r>
      <w:r w:rsidR="008A67B4">
        <w:rPr>
          <w:sz w:val="22"/>
          <w:szCs w:val="22"/>
          <w:lang w:val="en-US" w:eastAsia="zh-CN"/>
        </w:rPr>
        <w:t>2</w:t>
      </w:r>
      <w:r w:rsidR="0098156E">
        <w:rPr>
          <w:sz w:val="22"/>
          <w:szCs w:val="22"/>
          <w:lang w:val="en-US" w:eastAsia="zh-CN"/>
        </w:rPr>
        <w:t>7</w:t>
      </w:r>
      <w:r w:rsidRPr="0029532F">
        <w:rPr>
          <w:sz w:val="22"/>
          <w:szCs w:val="22"/>
          <w:lang w:val="en-US" w:eastAsia="zh-CN"/>
        </w:rPr>
        <w:t>, 20</w:t>
      </w:r>
      <w:r w:rsidR="00AC5682">
        <w:rPr>
          <w:sz w:val="22"/>
          <w:szCs w:val="22"/>
          <w:lang w:val="en-US" w:eastAsia="zh-CN"/>
        </w:rPr>
        <w:t>2</w:t>
      </w:r>
      <w:r w:rsidR="0088295A">
        <w:rPr>
          <w:sz w:val="22"/>
          <w:szCs w:val="22"/>
          <w:lang w:val="en-US" w:eastAsia="zh-CN"/>
        </w:rPr>
        <w:t>1</w:t>
      </w:r>
    </w:p>
    <w:p w14:paraId="6062FC9E" w14:textId="57403240" w:rsidR="008A67B4" w:rsidRDefault="008A67B4" w:rsidP="00284428">
      <w:pPr>
        <w:numPr>
          <w:ilvl w:val="0"/>
          <w:numId w:val="2"/>
        </w:numPr>
        <w:rPr>
          <w:sz w:val="22"/>
          <w:szCs w:val="22"/>
          <w:lang w:val="en-US" w:eastAsia="zh-CN"/>
        </w:rPr>
      </w:pPr>
      <w:bookmarkStart w:id="4" w:name="_Ref78926790"/>
      <w:r>
        <w:rPr>
          <w:sz w:val="22"/>
          <w:szCs w:val="22"/>
          <w:lang w:val="en-US" w:eastAsia="zh-CN"/>
        </w:rPr>
        <w:t>R1-</w:t>
      </w:r>
      <w:r w:rsidR="004412FB" w:rsidRPr="004412FB">
        <w:rPr>
          <w:sz w:val="22"/>
          <w:szCs w:val="22"/>
          <w:lang w:val="en-US" w:eastAsia="zh-CN"/>
        </w:rPr>
        <w:t>1909020</w:t>
      </w:r>
      <w:r>
        <w:rPr>
          <w:sz w:val="22"/>
          <w:szCs w:val="22"/>
          <w:lang w:val="en-US" w:eastAsia="zh-CN"/>
        </w:rPr>
        <w:t xml:space="preserve">, </w:t>
      </w:r>
      <w:r w:rsidR="004412FB" w:rsidRPr="004412FB">
        <w:rPr>
          <w:sz w:val="22"/>
          <w:szCs w:val="22"/>
          <w:lang w:val="en-US" w:eastAsia="zh-CN"/>
        </w:rPr>
        <w:t>Discussion on SRS carrier-based switching</w:t>
      </w:r>
      <w:r>
        <w:rPr>
          <w:sz w:val="22"/>
          <w:szCs w:val="22"/>
          <w:lang w:val="en-US" w:eastAsia="zh-CN"/>
        </w:rPr>
        <w:t xml:space="preserve">, </w:t>
      </w:r>
      <w:r w:rsidR="004412FB" w:rsidRPr="004412FB">
        <w:rPr>
          <w:sz w:val="22"/>
          <w:szCs w:val="22"/>
          <w:lang w:val="en-US" w:eastAsia="zh-CN"/>
        </w:rPr>
        <w:t>FUTUREWEI</w:t>
      </w:r>
      <w:r w:rsidR="00B922EA">
        <w:rPr>
          <w:sz w:val="22"/>
          <w:szCs w:val="22"/>
          <w:lang w:val="en-US" w:eastAsia="zh-CN"/>
        </w:rPr>
        <w:t xml:space="preserve">, </w:t>
      </w:r>
      <w:r w:rsidRPr="008A67B4">
        <w:rPr>
          <w:sz w:val="22"/>
          <w:szCs w:val="22"/>
          <w:lang w:val="en-US" w:eastAsia="zh-CN"/>
        </w:rPr>
        <w:t>3GPP TSG RAN WG1 Meeting #</w:t>
      </w:r>
      <w:r w:rsidR="004412FB">
        <w:rPr>
          <w:sz w:val="22"/>
          <w:szCs w:val="22"/>
          <w:lang w:val="en-US" w:eastAsia="zh-CN"/>
        </w:rPr>
        <w:t>98</w:t>
      </w:r>
      <w:r w:rsidRPr="008A67B4">
        <w:rPr>
          <w:sz w:val="22"/>
          <w:szCs w:val="22"/>
          <w:lang w:val="en-US" w:eastAsia="zh-CN"/>
        </w:rPr>
        <w:t xml:space="preserve">, </w:t>
      </w:r>
      <w:r w:rsidR="004412FB" w:rsidRPr="004412FB">
        <w:rPr>
          <w:sz w:val="22"/>
          <w:szCs w:val="22"/>
          <w:lang w:val="en-US" w:eastAsia="zh-CN"/>
        </w:rPr>
        <w:t>Prague, Czech Republic, August 26</w:t>
      </w:r>
      <w:r w:rsidR="00700D10">
        <w:rPr>
          <w:sz w:val="22"/>
          <w:szCs w:val="22"/>
          <w:lang w:val="en-US" w:eastAsia="zh-CN"/>
        </w:rPr>
        <w:t xml:space="preserve"> </w:t>
      </w:r>
      <w:r w:rsidR="00700D10" w:rsidRPr="0088295A">
        <w:rPr>
          <w:sz w:val="22"/>
          <w:szCs w:val="22"/>
          <w:lang w:val="en-US" w:eastAsia="zh-CN"/>
        </w:rPr>
        <w:t>–</w:t>
      </w:r>
      <w:r w:rsidR="00700D10">
        <w:rPr>
          <w:sz w:val="22"/>
          <w:szCs w:val="22"/>
          <w:lang w:val="en-US" w:eastAsia="zh-CN"/>
        </w:rPr>
        <w:t xml:space="preserve"> </w:t>
      </w:r>
      <w:r w:rsidR="004412FB" w:rsidRPr="004412FB">
        <w:rPr>
          <w:sz w:val="22"/>
          <w:szCs w:val="22"/>
          <w:lang w:val="en-US" w:eastAsia="zh-CN"/>
        </w:rPr>
        <w:t>30, 2019</w:t>
      </w:r>
      <w:bookmarkEnd w:id="4"/>
    </w:p>
    <w:p w14:paraId="5C619494" w14:textId="23A26EB5" w:rsidR="005755C2" w:rsidRDefault="005755C2" w:rsidP="006C6E3F">
      <w:pPr>
        <w:rPr>
          <w:sz w:val="22"/>
          <w:szCs w:val="22"/>
          <w:lang w:val="en-US" w:eastAsia="zh-CN"/>
        </w:rPr>
      </w:pPr>
    </w:p>
    <w:p w14:paraId="297DCE2D" w14:textId="77777777" w:rsidR="001605D8" w:rsidRDefault="001605D8" w:rsidP="006C6E3F">
      <w:pPr>
        <w:rPr>
          <w:sz w:val="22"/>
          <w:szCs w:val="22"/>
          <w:lang w:val="en-US" w:eastAsia="zh-CN"/>
        </w:rPr>
      </w:pPr>
    </w:p>
    <w:sectPr w:rsidR="001605D8"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147BB" w14:textId="77777777" w:rsidR="00851A14" w:rsidRDefault="00851A14">
      <w:r>
        <w:separator/>
      </w:r>
    </w:p>
  </w:endnote>
  <w:endnote w:type="continuationSeparator" w:id="0">
    <w:p w14:paraId="1844C97D" w14:textId="77777777" w:rsidR="00851A14" w:rsidRDefault="0085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B928C6" w:rsidRDefault="00B928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928C6" w:rsidRDefault="00B928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B928C6" w:rsidRDefault="00B928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FD3CF" w14:textId="77777777" w:rsidR="00B928C6" w:rsidRDefault="00B92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547B7" w14:textId="77777777" w:rsidR="00851A14" w:rsidRDefault="00851A14">
      <w:r>
        <w:separator/>
      </w:r>
    </w:p>
  </w:footnote>
  <w:footnote w:type="continuationSeparator" w:id="0">
    <w:p w14:paraId="093A5A15" w14:textId="77777777" w:rsidR="00851A14" w:rsidRDefault="0085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B928C6" w:rsidRDefault="00B928C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BC025" w14:textId="77777777" w:rsidR="00B928C6" w:rsidRDefault="00B92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DEBCC" w14:textId="77777777" w:rsidR="00B928C6" w:rsidRDefault="00B92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6F52CA"/>
    <w:multiLevelType w:val="hybridMultilevel"/>
    <w:tmpl w:val="05FE267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7"/>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29"/>
  </w:num>
  <w:num w:numId="8">
    <w:abstractNumId w:val="2"/>
  </w:num>
  <w:num w:numId="9">
    <w:abstractNumId w:val="5"/>
  </w:num>
  <w:num w:numId="10">
    <w:abstractNumId w:val="28"/>
  </w:num>
  <w:num w:numId="11">
    <w:abstractNumId w:val="36"/>
  </w:num>
  <w:num w:numId="12">
    <w:abstractNumId w:val="4"/>
  </w:num>
  <w:num w:numId="13">
    <w:abstractNumId w:val="32"/>
  </w:num>
  <w:num w:numId="14">
    <w:abstractNumId w:val="11"/>
  </w:num>
  <w:num w:numId="15">
    <w:abstractNumId w:val="13"/>
  </w:num>
  <w:num w:numId="16">
    <w:abstractNumId w:val="10"/>
  </w:num>
  <w:num w:numId="17">
    <w:abstractNumId w:val="15"/>
  </w:num>
  <w:num w:numId="18">
    <w:abstractNumId w:val="7"/>
  </w:num>
  <w:num w:numId="19">
    <w:abstractNumId w:val="18"/>
  </w:num>
  <w:num w:numId="20">
    <w:abstractNumId w:val="31"/>
  </w:num>
  <w:num w:numId="21">
    <w:abstractNumId w:val="12"/>
  </w:num>
  <w:num w:numId="22">
    <w:abstractNumId w:val="34"/>
  </w:num>
  <w:num w:numId="23">
    <w:abstractNumId w:val="27"/>
  </w:num>
  <w:num w:numId="24">
    <w:abstractNumId w:val="22"/>
  </w:num>
  <w:num w:numId="25">
    <w:abstractNumId w:val="6"/>
  </w:num>
  <w:num w:numId="26">
    <w:abstractNumId w:val="35"/>
  </w:num>
  <w:num w:numId="27">
    <w:abstractNumId w:val="21"/>
  </w:num>
  <w:num w:numId="28">
    <w:abstractNumId w:val="19"/>
  </w:num>
  <w:num w:numId="29">
    <w:abstractNumId w:val="33"/>
  </w:num>
  <w:num w:numId="30">
    <w:abstractNumId w:val="20"/>
  </w:num>
  <w:num w:numId="31">
    <w:abstractNumId w:val="17"/>
  </w:num>
  <w:num w:numId="32">
    <w:abstractNumId w:val="25"/>
  </w:num>
  <w:num w:numId="33">
    <w:abstractNumId w:val="24"/>
  </w:num>
  <w:num w:numId="34">
    <w:abstractNumId w:val="3"/>
  </w:num>
  <w:num w:numId="35">
    <w:abstractNumId w:val="30"/>
  </w:num>
  <w:num w:numId="36">
    <w:abstractNumId w:val="26"/>
  </w:num>
  <w:num w:numId="3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61"/>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C4B"/>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0FFE"/>
    <w:rsid w:val="00051135"/>
    <w:rsid w:val="00051586"/>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FB"/>
    <w:rsid w:val="00071E9B"/>
    <w:rsid w:val="000721FD"/>
    <w:rsid w:val="000725C2"/>
    <w:rsid w:val="00072E75"/>
    <w:rsid w:val="00072EFA"/>
    <w:rsid w:val="00073239"/>
    <w:rsid w:val="00073785"/>
    <w:rsid w:val="00073A00"/>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42"/>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307"/>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07D08"/>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D5C"/>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47FC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B86"/>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146"/>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A89"/>
    <w:rsid w:val="00253D64"/>
    <w:rsid w:val="00254517"/>
    <w:rsid w:val="00254616"/>
    <w:rsid w:val="002548B7"/>
    <w:rsid w:val="00254A1E"/>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8F7"/>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D41"/>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DE2"/>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C0F"/>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DD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C48"/>
    <w:rsid w:val="00380F42"/>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5EC6"/>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4D"/>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2FB"/>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B1A"/>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196"/>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DA6"/>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3A9"/>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58C"/>
    <w:rsid w:val="006B3604"/>
    <w:rsid w:val="006B393F"/>
    <w:rsid w:val="006B3D4A"/>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0D10"/>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00"/>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CF9"/>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982"/>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E1"/>
    <w:rsid w:val="00804867"/>
    <w:rsid w:val="0080487F"/>
    <w:rsid w:val="00804B2F"/>
    <w:rsid w:val="00804F0D"/>
    <w:rsid w:val="00804FDF"/>
    <w:rsid w:val="0080536A"/>
    <w:rsid w:val="008054CB"/>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C5E"/>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A14"/>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4CA"/>
    <w:rsid w:val="008B35ED"/>
    <w:rsid w:val="008B41EF"/>
    <w:rsid w:val="008B4230"/>
    <w:rsid w:val="008B447F"/>
    <w:rsid w:val="008B47A2"/>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2B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70CE"/>
    <w:rsid w:val="009171B7"/>
    <w:rsid w:val="00917EEB"/>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B1F"/>
    <w:rsid w:val="009542A5"/>
    <w:rsid w:val="009543E7"/>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56E"/>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C8D"/>
    <w:rsid w:val="009C7F47"/>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8D9"/>
    <w:rsid w:val="009E798E"/>
    <w:rsid w:val="009F02E6"/>
    <w:rsid w:val="009F04E9"/>
    <w:rsid w:val="009F0595"/>
    <w:rsid w:val="009F06F6"/>
    <w:rsid w:val="009F0C38"/>
    <w:rsid w:val="009F0CD1"/>
    <w:rsid w:val="009F1033"/>
    <w:rsid w:val="009F10FC"/>
    <w:rsid w:val="009F187B"/>
    <w:rsid w:val="009F1933"/>
    <w:rsid w:val="009F1B5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5044D"/>
    <w:rsid w:val="00A5046E"/>
    <w:rsid w:val="00A50AED"/>
    <w:rsid w:val="00A50B00"/>
    <w:rsid w:val="00A511FB"/>
    <w:rsid w:val="00A514B2"/>
    <w:rsid w:val="00A514EB"/>
    <w:rsid w:val="00A51F5E"/>
    <w:rsid w:val="00A521E0"/>
    <w:rsid w:val="00A52A54"/>
    <w:rsid w:val="00A52D1E"/>
    <w:rsid w:val="00A53552"/>
    <w:rsid w:val="00A53DDA"/>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7EA"/>
    <w:rsid w:val="00AA192D"/>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A90"/>
    <w:rsid w:val="00B20E2B"/>
    <w:rsid w:val="00B20F0F"/>
    <w:rsid w:val="00B21016"/>
    <w:rsid w:val="00B215F9"/>
    <w:rsid w:val="00B217E4"/>
    <w:rsid w:val="00B21A49"/>
    <w:rsid w:val="00B21CA7"/>
    <w:rsid w:val="00B21D72"/>
    <w:rsid w:val="00B21D85"/>
    <w:rsid w:val="00B21DF9"/>
    <w:rsid w:val="00B2251A"/>
    <w:rsid w:val="00B22803"/>
    <w:rsid w:val="00B233A9"/>
    <w:rsid w:val="00B239BD"/>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CE7"/>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DF7"/>
    <w:rsid w:val="00B60E6E"/>
    <w:rsid w:val="00B60E74"/>
    <w:rsid w:val="00B6184F"/>
    <w:rsid w:val="00B619AF"/>
    <w:rsid w:val="00B61B85"/>
    <w:rsid w:val="00B61CFF"/>
    <w:rsid w:val="00B61F53"/>
    <w:rsid w:val="00B61F70"/>
    <w:rsid w:val="00B6237B"/>
    <w:rsid w:val="00B62466"/>
    <w:rsid w:val="00B624C5"/>
    <w:rsid w:val="00B62A18"/>
    <w:rsid w:val="00B62B02"/>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2EA"/>
    <w:rsid w:val="00B926E0"/>
    <w:rsid w:val="00B928B6"/>
    <w:rsid w:val="00B928C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97FEC"/>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8FA"/>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374"/>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17F"/>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5D54"/>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72E"/>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758"/>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4BB"/>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CEC"/>
    <w:rsid w:val="00E54D33"/>
    <w:rsid w:val="00E5515E"/>
    <w:rsid w:val="00E556A3"/>
    <w:rsid w:val="00E55BCA"/>
    <w:rsid w:val="00E55E17"/>
    <w:rsid w:val="00E55F3F"/>
    <w:rsid w:val="00E5711F"/>
    <w:rsid w:val="00E5719D"/>
    <w:rsid w:val="00E5765B"/>
    <w:rsid w:val="00E57A8F"/>
    <w:rsid w:val="00E6000E"/>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D6C"/>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20"/>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8FA"/>
    <w:rsid w:val="00F35A79"/>
    <w:rsid w:val="00F35E92"/>
    <w:rsid w:val="00F36190"/>
    <w:rsid w:val="00F3647B"/>
    <w:rsid w:val="00F364D1"/>
    <w:rsid w:val="00F3651B"/>
    <w:rsid w:val="00F3674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7026"/>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character" w:styleId="Strong">
    <w:name w:val="Strong"/>
    <w:uiPriority w:val="22"/>
    <w:qFormat/>
    <w:rsid w:val="00301C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7941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4</cp:revision>
  <cp:lastPrinted>2011-11-09T07:49:00Z</cp:lastPrinted>
  <dcterms:created xsi:type="dcterms:W3CDTF">2021-08-06T13:13:00Z</dcterms:created>
  <dcterms:modified xsi:type="dcterms:W3CDTF">2021-08-06T15:42:00Z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